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3B385C6" w14:textId="77777777" w:rsidR="00B31320" w:rsidRPr="00600663" w:rsidRDefault="00BA102E" w:rsidP="00BA102E">
      <w:pPr>
        <w:jc w:val="center"/>
        <w:rPr>
          <w:rFonts w:asciiTheme="minorHAnsi" w:hAnsiTheme="minorHAnsi" w:cstheme="minorHAnsi"/>
          <w:b/>
          <w:color w:val="222222"/>
          <w:sz w:val="28"/>
          <w:szCs w:val="28"/>
          <w:shd w:val="clear" w:color="auto" w:fill="FFFFFF"/>
        </w:rPr>
      </w:pPr>
      <w:r w:rsidRPr="00600663">
        <w:rPr>
          <w:rFonts w:asciiTheme="minorHAnsi" w:hAnsiTheme="minorHAnsi" w:cstheme="minorHAnsi"/>
          <w:b/>
          <w:color w:val="222222"/>
          <w:sz w:val="28"/>
          <w:szCs w:val="28"/>
          <w:shd w:val="clear" w:color="auto" w:fill="FFFFFF"/>
        </w:rPr>
        <w:t>DATOS L</w:t>
      </w:r>
      <w:r w:rsidR="00627405">
        <w:rPr>
          <w:rFonts w:asciiTheme="minorHAnsi" w:hAnsiTheme="minorHAnsi" w:cstheme="minorHAnsi"/>
          <w:b/>
          <w:color w:val="222222"/>
          <w:sz w:val="28"/>
          <w:szCs w:val="28"/>
          <w:shd w:val="clear" w:color="auto" w:fill="FFFFFF"/>
        </w:rPr>
        <w:t>i</w:t>
      </w:r>
      <w:r w:rsidRPr="00600663">
        <w:rPr>
          <w:rFonts w:asciiTheme="minorHAnsi" w:hAnsiTheme="minorHAnsi" w:cstheme="minorHAnsi"/>
          <w:b/>
          <w:color w:val="222222"/>
          <w:sz w:val="28"/>
          <w:szCs w:val="28"/>
          <w:shd w:val="clear" w:color="auto" w:fill="FFFFFF"/>
        </w:rPr>
        <w:t>DAR PARA LA DELIMITACIÓN DE LA FRACCIÓN DE CABIDA CUBIERTA (FCC) EN DEHESAS DE LA REGIÓN MEDITERRÁNEA</w:t>
      </w:r>
    </w:p>
    <w:p w14:paraId="191FB979" w14:textId="77777777" w:rsidR="00C81027" w:rsidRPr="00600663" w:rsidRDefault="00C81027" w:rsidP="00BA102E">
      <w:pPr>
        <w:jc w:val="center"/>
        <w:rPr>
          <w:rFonts w:asciiTheme="minorHAnsi" w:hAnsiTheme="minorHAnsi" w:cstheme="minorHAnsi"/>
          <w:b/>
          <w:color w:val="222222"/>
          <w:sz w:val="28"/>
          <w:szCs w:val="28"/>
          <w:shd w:val="clear" w:color="auto" w:fill="FFFFFF"/>
        </w:rPr>
      </w:pPr>
    </w:p>
    <w:p w14:paraId="7D79FC91" w14:textId="77777777" w:rsidR="0047493C" w:rsidRPr="00600663" w:rsidRDefault="0047493C" w:rsidP="0047493C">
      <w:pPr>
        <w:jc w:val="center"/>
        <w:rPr>
          <w:shd w:val="clear" w:color="auto" w:fill="FFFFFF"/>
          <w:vertAlign w:val="superscript"/>
        </w:rPr>
      </w:pPr>
      <w:r w:rsidRPr="00600663">
        <w:rPr>
          <w:shd w:val="clear" w:color="auto" w:fill="FFFFFF"/>
        </w:rPr>
        <w:t xml:space="preserve">I.M. Arenas </w:t>
      </w:r>
      <w:r w:rsidRPr="00C93A93">
        <w:rPr>
          <w:shd w:val="clear" w:color="auto" w:fill="FFFFFF"/>
        </w:rPr>
        <w:t>Corraliza</w:t>
      </w:r>
      <w:r w:rsidRPr="00C93A93">
        <w:rPr>
          <w:shd w:val="clear" w:color="auto" w:fill="FFFFFF"/>
          <w:vertAlign w:val="superscript"/>
        </w:rPr>
        <w:t>1</w:t>
      </w:r>
      <w:r>
        <w:rPr>
          <w:shd w:val="clear" w:color="auto" w:fill="FFFFFF"/>
        </w:rPr>
        <w:t xml:space="preserve">, </w:t>
      </w:r>
      <w:r w:rsidRPr="00C93A93">
        <w:rPr>
          <w:shd w:val="clear" w:color="auto" w:fill="FFFFFF"/>
        </w:rPr>
        <w:t>A</w:t>
      </w:r>
      <w:r w:rsidRPr="00600663">
        <w:rPr>
          <w:shd w:val="clear" w:color="auto" w:fill="FFFFFF"/>
        </w:rPr>
        <w:t>. Nieto Masot</w:t>
      </w:r>
      <w:r w:rsidRPr="00600663">
        <w:rPr>
          <w:shd w:val="clear" w:color="auto" w:fill="FFFFFF"/>
          <w:vertAlign w:val="superscript"/>
        </w:rPr>
        <w:t>1</w:t>
      </w:r>
      <w:r w:rsidRPr="00600663">
        <w:rPr>
          <w:shd w:val="clear" w:color="auto" w:fill="FFFFFF"/>
        </w:rPr>
        <w:t>, E. Quirós Rosado</w:t>
      </w:r>
      <w:r w:rsidRPr="00600663">
        <w:rPr>
          <w:shd w:val="clear" w:color="auto" w:fill="FFFFFF"/>
          <w:vertAlign w:val="superscript"/>
        </w:rPr>
        <w:t>2</w:t>
      </w:r>
      <w:r w:rsidRPr="00600663">
        <w:rPr>
          <w:shd w:val="clear" w:color="auto" w:fill="FFFFFF"/>
        </w:rPr>
        <w:t>, G. Moreno Marcos</w:t>
      </w:r>
      <w:r w:rsidRPr="00600663">
        <w:rPr>
          <w:shd w:val="clear" w:color="auto" w:fill="FFFFFF"/>
          <w:vertAlign w:val="superscript"/>
        </w:rPr>
        <w:t>3</w:t>
      </w:r>
    </w:p>
    <w:p w14:paraId="4BDB502B" w14:textId="77777777" w:rsidR="0047493C" w:rsidRPr="00600663" w:rsidRDefault="0047493C" w:rsidP="0047493C">
      <w:pPr>
        <w:rPr>
          <w:shd w:val="clear" w:color="auto" w:fill="FFFFFF"/>
        </w:rPr>
      </w:pPr>
    </w:p>
    <w:p w14:paraId="379F6773" w14:textId="61E0C665" w:rsidR="0047493C" w:rsidRPr="00600663" w:rsidRDefault="0047493C" w:rsidP="0047493C">
      <w:pPr>
        <w:rPr>
          <w:vertAlign w:val="superscript"/>
        </w:rPr>
      </w:pPr>
      <w:r w:rsidRPr="00600663">
        <w:rPr>
          <w:vertAlign w:val="superscript"/>
        </w:rPr>
        <w:t>1</w:t>
      </w:r>
      <w:r>
        <w:t xml:space="preserve">Instituto Universitario de Investigación para el Desarrollo Territorial Sostenible, </w:t>
      </w:r>
      <w:r w:rsidRPr="00600663">
        <w:t xml:space="preserve">Universidad de Extremadura. </w:t>
      </w:r>
      <w:hyperlink r:id="rId8" w:history="1">
        <w:r w:rsidRPr="00116494">
          <w:t>isabelarenascorraliza@unex.es</w:t>
        </w:r>
      </w:hyperlink>
      <w:r>
        <w:t xml:space="preserve">,  </w:t>
      </w:r>
      <w:hyperlink r:id="rId9" w:history="1">
        <w:r w:rsidRPr="00600663">
          <w:t>ananieto@unex.es</w:t>
        </w:r>
      </w:hyperlink>
      <w:r w:rsidRPr="00600663">
        <w:t xml:space="preserve"> </w:t>
      </w:r>
    </w:p>
    <w:p w14:paraId="79507AD8" w14:textId="77777777" w:rsidR="0047493C" w:rsidRPr="00600663" w:rsidRDefault="0047493C" w:rsidP="0047493C">
      <w:r w:rsidRPr="00600663">
        <w:rPr>
          <w:vertAlign w:val="superscript"/>
        </w:rPr>
        <w:t>2</w:t>
      </w:r>
      <w:r w:rsidRPr="00600663">
        <w:t>Departamento de Expresión Gráfica, Universidad de Extremadura. equiros@unex.es</w:t>
      </w:r>
    </w:p>
    <w:p w14:paraId="1F85A908" w14:textId="77777777" w:rsidR="0047493C" w:rsidRPr="00600663" w:rsidRDefault="0047493C" w:rsidP="0047493C">
      <w:r w:rsidRPr="00600663">
        <w:rPr>
          <w:vertAlign w:val="superscript"/>
        </w:rPr>
        <w:t>3</w:t>
      </w:r>
      <w:r w:rsidRPr="00600663">
        <w:t xml:space="preserve">Departamento de Biología Vegetal, Ecología y Ciencias de la Tierra, Universidad de Extremadura. </w:t>
      </w:r>
      <w:hyperlink r:id="rId10" w:history="1">
        <w:r w:rsidRPr="00600663">
          <w:t>gmoreno@unex.es</w:t>
        </w:r>
      </w:hyperlink>
    </w:p>
    <w:p w14:paraId="30DB9E73" w14:textId="745A6A61" w:rsidR="0047493C" w:rsidRDefault="0047493C" w:rsidP="00C81027">
      <w:pPr>
        <w:rPr>
          <w:shd w:val="clear" w:color="auto" w:fill="FFFFFF"/>
        </w:rPr>
      </w:pPr>
    </w:p>
    <w:p w14:paraId="78AD992D" w14:textId="77777777" w:rsidR="006C67CA" w:rsidRPr="00600663" w:rsidRDefault="006C67CA" w:rsidP="00C81027"/>
    <w:p w14:paraId="36DA5D4B" w14:textId="77777777" w:rsidR="00C81027" w:rsidRPr="00600663" w:rsidRDefault="00C81027" w:rsidP="00C81027">
      <w:pPr>
        <w:rPr>
          <w:b/>
        </w:rPr>
      </w:pPr>
      <w:r w:rsidRPr="00600663">
        <w:rPr>
          <w:b/>
        </w:rPr>
        <w:t>RESUMEN</w:t>
      </w:r>
    </w:p>
    <w:p w14:paraId="0DF5299C" w14:textId="6BDD9891" w:rsidR="00A31BA1" w:rsidRPr="0047493C" w:rsidRDefault="00827FA7" w:rsidP="00C81027">
      <w:pPr>
        <w:rPr>
          <w:rFonts w:eastAsia="Times New Roman" w:cs="Times New Roman"/>
          <w:kern w:val="18"/>
          <w:sz w:val="20"/>
          <w:szCs w:val="20"/>
          <w:lang w:eastAsia="es-ES"/>
        </w:rPr>
      </w:pPr>
      <w:r w:rsidRPr="0047493C">
        <w:rPr>
          <w:rFonts w:eastAsia="Times New Roman" w:cs="Times New Roman"/>
          <w:kern w:val="18"/>
          <w:sz w:val="20"/>
          <w:szCs w:val="20"/>
          <w:lang w:eastAsia="es-ES"/>
        </w:rPr>
        <w:t xml:space="preserve">La </w:t>
      </w:r>
      <w:r w:rsidR="005E12AF" w:rsidRPr="0047493C">
        <w:rPr>
          <w:rFonts w:eastAsia="Times New Roman" w:cs="Times New Roman"/>
          <w:kern w:val="18"/>
          <w:sz w:val="20"/>
          <w:szCs w:val="20"/>
          <w:lang w:eastAsia="es-ES"/>
        </w:rPr>
        <w:t>determinación</w:t>
      </w:r>
      <w:r w:rsidRPr="0047493C">
        <w:rPr>
          <w:rFonts w:eastAsia="Times New Roman" w:cs="Times New Roman"/>
          <w:kern w:val="18"/>
          <w:sz w:val="20"/>
          <w:szCs w:val="20"/>
          <w:lang w:eastAsia="es-ES"/>
        </w:rPr>
        <w:t xml:space="preserve"> </w:t>
      </w:r>
      <w:r w:rsidR="00501855" w:rsidRPr="0047493C">
        <w:rPr>
          <w:rFonts w:eastAsia="Times New Roman" w:cs="Times New Roman"/>
          <w:kern w:val="18"/>
          <w:sz w:val="20"/>
          <w:szCs w:val="20"/>
          <w:lang w:eastAsia="es-ES"/>
        </w:rPr>
        <w:t>exacta</w:t>
      </w:r>
      <w:r w:rsidRPr="0047493C">
        <w:rPr>
          <w:rFonts w:eastAsia="Times New Roman" w:cs="Times New Roman"/>
          <w:kern w:val="18"/>
          <w:sz w:val="20"/>
          <w:szCs w:val="20"/>
          <w:lang w:eastAsia="es-ES"/>
        </w:rPr>
        <w:t xml:space="preserve"> de la </w:t>
      </w:r>
      <w:r w:rsidR="0007674C">
        <w:rPr>
          <w:rFonts w:eastAsia="Times New Roman" w:cs="Times New Roman"/>
          <w:kern w:val="18"/>
          <w:sz w:val="20"/>
          <w:szCs w:val="20"/>
          <w:lang w:eastAsia="es-ES"/>
        </w:rPr>
        <w:t xml:space="preserve">fracción de </w:t>
      </w:r>
      <w:r w:rsidRPr="0047493C">
        <w:rPr>
          <w:rFonts w:eastAsia="Times New Roman" w:cs="Times New Roman"/>
          <w:kern w:val="18"/>
          <w:sz w:val="20"/>
          <w:szCs w:val="20"/>
          <w:lang w:eastAsia="es-ES"/>
        </w:rPr>
        <w:t xml:space="preserve">cabida cubierta en la dehesa resulta fundamental para el análisis a múltiples escalas del papel del arbolado en este sistema. </w:t>
      </w:r>
      <w:r w:rsidR="008305F1" w:rsidRPr="0047493C">
        <w:rPr>
          <w:rFonts w:eastAsia="Times New Roman" w:cs="Times New Roman"/>
          <w:kern w:val="18"/>
          <w:sz w:val="20"/>
          <w:szCs w:val="20"/>
          <w:lang w:eastAsia="es-ES"/>
        </w:rPr>
        <w:t xml:space="preserve">Este trabajo aborda </w:t>
      </w:r>
      <w:r w:rsidR="005E12AF" w:rsidRPr="0047493C">
        <w:rPr>
          <w:rFonts w:eastAsia="Times New Roman" w:cs="Times New Roman"/>
          <w:kern w:val="18"/>
          <w:sz w:val="20"/>
          <w:szCs w:val="20"/>
          <w:lang w:eastAsia="es-ES"/>
        </w:rPr>
        <w:t>dicha</w:t>
      </w:r>
      <w:r w:rsidR="008305F1" w:rsidRPr="0047493C">
        <w:rPr>
          <w:rFonts w:eastAsia="Times New Roman" w:cs="Times New Roman"/>
          <w:kern w:val="18"/>
          <w:sz w:val="20"/>
          <w:szCs w:val="20"/>
          <w:lang w:eastAsia="es-ES"/>
        </w:rPr>
        <w:t xml:space="preserve"> </w:t>
      </w:r>
      <w:r w:rsidR="00246612" w:rsidRPr="0047493C">
        <w:rPr>
          <w:rFonts w:eastAsia="Times New Roman" w:cs="Times New Roman"/>
          <w:kern w:val="18"/>
          <w:sz w:val="20"/>
          <w:szCs w:val="20"/>
          <w:lang w:eastAsia="es-ES"/>
        </w:rPr>
        <w:t>determinación</w:t>
      </w:r>
      <w:r w:rsidR="008305F1" w:rsidRPr="0047493C">
        <w:rPr>
          <w:rFonts w:eastAsia="Times New Roman" w:cs="Times New Roman"/>
          <w:kern w:val="18"/>
          <w:sz w:val="20"/>
          <w:szCs w:val="20"/>
          <w:lang w:eastAsia="es-ES"/>
        </w:rPr>
        <w:t xml:space="preserve"> a partir </w:t>
      </w:r>
      <w:r w:rsidR="00F575D8" w:rsidRPr="0047493C">
        <w:rPr>
          <w:rFonts w:eastAsia="Times New Roman" w:cs="Times New Roman"/>
          <w:kern w:val="18"/>
          <w:sz w:val="20"/>
          <w:szCs w:val="20"/>
          <w:lang w:eastAsia="es-ES"/>
        </w:rPr>
        <w:t>de or</w:t>
      </w:r>
      <w:r w:rsidR="008305F1" w:rsidRPr="0047493C">
        <w:rPr>
          <w:rFonts w:eastAsia="Times New Roman" w:cs="Times New Roman"/>
          <w:kern w:val="18"/>
          <w:sz w:val="20"/>
          <w:szCs w:val="20"/>
          <w:lang w:eastAsia="es-ES"/>
        </w:rPr>
        <w:t xml:space="preserve">tofotografías </w:t>
      </w:r>
      <w:r w:rsidR="00F575D8" w:rsidRPr="0047493C">
        <w:rPr>
          <w:rFonts w:eastAsia="Times New Roman" w:cs="Times New Roman"/>
          <w:kern w:val="18"/>
          <w:sz w:val="20"/>
          <w:szCs w:val="20"/>
          <w:lang w:eastAsia="es-ES"/>
        </w:rPr>
        <w:t>en falso color</w:t>
      </w:r>
      <w:r w:rsidR="008305F1" w:rsidRPr="0047493C">
        <w:rPr>
          <w:rFonts w:eastAsia="Times New Roman" w:cs="Times New Roman"/>
          <w:kern w:val="18"/>
          <w:sz w:val="20"/>
          <w:szCs w:val="20"/>
          <w:lang w:eastAsia="es-ES"/>
        </w:rPr>
        <w:t xml:space="preserve"> infrarrojo y datos LiDAR</w:t>
      </w:r>
      <w:r w:rsidR="00627405" w:rsidRPr="0047493C">
        <w:rPr>
          <w:rFonts w:eastAsia="Times New Roman" w:cs="Times New Roman"/>
          <w:kern w:val="18"/>
          <w:sz w:val="20"/>
          <w:szCs w:val="20"/>
          <w:lang w:eastAsia="es-ES"/>
        </w:rPr>
        <w:t xml:space="preserve"> (</w:t>
      </w:r>
      <w:r w:rsidR="00627405" w:rsidRPr="0047493C">
        <w:rPr>
          <w:rFonts w:eastAsia="Times New Roman" w:cs="Times New Roman"/>
          <w:i/>
          <w:kern w:val="18"/>
          <w:sz w:val="20"/>
          <w:szCs w:val="20"/>
          <w:lang w:eastAsia="es-ES"/>
        </w:rPr>
        <w:t xml:space="preserve">Light Detection </w:t>
      </w:r>
      <w:r w:rsidR="006F4F8B" w:rsidRPr="0047493C">
        <w:rPr>
          <w:rFonts w:eastAsia="Times New Roman" w:cs="Times New Roman"/>
          <w:i/>
          <w:kern w:val="18"/>
          <w:sz w:val="20"/>
          <w:szCs w:val="20"/>
          <w:lang w:eastAsia="es-ES"/>
        </w:rPr>
        <w:t>A</w:t>
      </w:r>
      <w:r w:rsidR="00627405" w:rsidRPr="0047493C">
        <w:rPr>
          <w:rFonts w:eastAsia="Times New Roman" w:cs="Times New Roman"/>
          <w:i/>
          <w:kern w:val="18"/>
          <w:sz w:val="20"/>
          <w:szCs w:val="20"/>
          <w:lang w:eastAsia="es-ES"/>
        </w:rPr>
        <w:t>nd Ranging</w:t>
      </w:r>
      <w:r w:rsidR="00627405" w:rsidRPr="0047493C">
        <w:rPr>
          <w:rFonts w:eastAsia="Times New Roman" w:cs="Times New Roman"/>
          <w:kern w:val="18"/>
          <w:sz w:val="20"/>
          <w:szCs w:val="20"/>
          <w:lang w:eastAsia="es-ES"/>
        </w:rPr>
        <w:t>)</w:t>
      </w:r>
      <w:r w:rsidRPr="0047493C">
        <w:rPr>
          <w:rFonts w:eastAsia="Times New Roman" w:cs="Times New Roman"/>
          <w:kern w:val="18"/>
          <w:sz w:val="20"/>
          <w:szCs w:val="20"/>
          <w:lang w:eastAsia="es-ES"/>
        </w:rPr>
        <w:t xml:space="preserve">, </w:t>
      </w:r>
      <w:r w:rsidR="008305F1" w:rsidRPr="0047493C">
        <w:rPr>
          <w:rFonts w:eastAsia="Times New Roman" w:cs="Times New Roman"/>
          <w:kern w:val="18"/>
          <w:sz w:val="20"/>
          <w:szCs w:val="20"/>
          <w:lang w:eastAsia="es-ES"/>
        </w:rPr>
        <w:t>obtenidos dentro de</w:t>
      </w:r>
      <w:r w:rsidR="00B75970" w:rsidRPr="0047493C">
        <w:rPr>
          <w:rFonts w:eastAsia="Times New Roman" w:cs="Times New Roman"/>
          <w:kern w:val="18"/>
          <w:sz w:val="20"/>
          <w:szCs w:val="20"/>
          <w:lang w:eastAsia="es-ES"/>
        </w:rPr>
        <w:t>l P</w:t>
      </w:r>
      <w:r w:rsidRPr="0047493C">
        <w:rPr>
          <w:rFonts w:eastAsia="Times New Roman" w:cs="Times New Roman"/>
          <w:kern w:val="18"/>
          <w:sz w:val="20"/>
          <w:szCs w:val="20"/>
          <w:lang w:eastAsia="es-ES"/>
        </w:rPr>
        <w:t xml:space="preserve">lan </w:t>
      </w:r>
      <w:r w:rsidR="00B75970" w:rsidRPr="0047493C">
        <w:rPr>
          <w:rFonts w:eastAsia="Times New Roman" w:cs="Times New Roman"/>
          <w:kern w:val="18"/>
          <w:sz w:val="20"/>
          <w:szCs w:val="20"/>
          <w:lang w:eastAsia="es-ES"/>
        </w:rPr>
        <w:t>N</w:t>
      </w:r>
      <w:r w:rsidRPr="0047493C">
        <w:rPr>
          <w:rFonts w:eastAsia="Times New Roman" w:cs="Times New Roman"/>
          <w:kern w:val="18"/>
          <w:sz w:val="20"/>
          <w:szCs w:val="20"/>
          <w:lang w:eastAsia="es-ES"/>
        </w:rPr>
        <w:t xml:space="preserve">acional de </w:t>
      </w:r>
      <w:r w:rsidR="00B75970" w:rsidRPr="0047493C">
        <w:rPr>
          <w:rFonts w:eastAsia="Times New Roman" w:cs="Times New Roman"/>
          <w:kern w:val="18"/>
          <w:sz w:val="20"/>
          <w:szCs w:val="20"/>
          <w:lang w:eastAsia="es-ES"/>
        </w:rPr>
        <w:t>O</w:t>
      </w:r>
      <w:r w:rsidRPr="0047493C">
        <w:rPr>
          <w:rFonts w:eastAsia="Times New Roman" w:cs="Times New Roman"/>
          <w:kern w:val="18"/>
          <w:sz w:val="20"/>
          <w:szCs w:val="20"/>
          <w:lang w:eastAsia="es-ES"/>
        </w:rPr>
        <w:t xml:space="preserve">rtofotografía </w:t>
      </w:r>
      <w:r w:rsidR="00B75970" w:rsidRPr="0047493C">
        <w:rPr>
          <w:rFonts w:eastAsia="Times New Roman" w:cs="Times New Roman"/>
          <w:kern w:val="18"/>
          <w:sz w:val="20"/>
          <w:szCs w:val="20"/>
          <w:lang w:eastAsia="es-ES"/>
        </w:rPr>
        <w:t>A</w:t>
      </w:r>
      <w:r w:rsidRPr="0047493C">
        <w:rPr>
          <w:rFonts w:eastAsia="Times New Roman" w:cs="Times New Roman"/>
          <w:kern w:val="18"/>
          <w:sz w:val="20"/>
          <w:szCs w:val="20"/>
          <w:lang w:eastAsia="es-ES"/>
        </w:rPr>
        <w:t>érea</w:t>
      </w:r>
      <w:r w:rsidR="0017434A" w:rsidRPr="0047493C">
        <w:rPr>
          <w:rFonts w:eastAsia="Times New Roman" w:cs="Times New Roman"/>
          <w:kern w:val="18"/>
          <w:sz w:val="20"/>
          <w:szCs w:val="20"/>
          <w:lang w:eastAsia="es-ES"/>
        </w:rPr>
        <w:t xml:space="preserve"> (PNOA)</w:t>
      </w:r>
      <w:r w:rsidRPr="0047493C">
        <w:rPr>
          <w:rFonts w:eastAsia="Times New Roman" w:cs="Times New Roman"/>
          <w:kern w:val="18"/>
          <w:sz w:val="20"/>
          <w:szCs w:val="20"/>
          <w:lang w:eastAsia="es-ES"/>
        </w:rPr>
        <w:t>.</w:t>
      </w:r>
      <w:r w:rsidR="00FF70B0">
        <w:rPr>
          <w:rFonts w:eastAsia="Times New Roman" w:cs="Times New Roman"/>
          <w:kern w:val="18"/>
          <w:sz w:val="20"/>
          <w:szCs w:val="20"/>
          <w:lang w:eastAsia="es-ES"/>
        </w:rPr>
        <w:t xml:space="preserve"> </w:t>
      </w:r>
      <w:r w:rsidR="008305F1" w:rsidRPr="0047493C">
        <w:rPr>
          <w:rFonts w:eastAsia="Times New Roman" w:cs="Times New Roman"/>
          <w:kern w:val="18"/>
          <w:sz w:val="20"/>
          <w:szCs w:val="20"/>
          <w:lang w:eastAsia="es-ES"/>
        </w:rPr>
        <w:t xml:space="preserve">Se </w:t>
      </w:r>
      <w:r w:rsidRPr="0047493C">
        <w:rPr>
          <w:rFonts w:eastAsia="Times New Roman" w:cs="Times New Roman"/>
          <w:kern w:val="18"/>
          <w:sz w:val="20"/>
          <w:szCs w:val="20"/>
          <w:lang w:eastAsia="es-ES"/>
        </w:rPr>
        <w:t xml:space="preserve">ha </w:t>
      </w:r>
      <w:r w:rsidR="008305F1" w:rsidRPr="0047493C">
        <w:rPr>
          <w:rFonts w:eastAsia="Times New Roman" w:cs="Times New Roman"/>
          <w:kern w:val="18"/>
          <w:sz w:val="20"/>
          <w:szCs w:val="20"/>
          <w:lang w:eastAsia="es-ES"/>
        </w:rPr>
        <w:t>contempl</w:t>
      </w:r>
      <w:r w:rsidRPr="0047493C">
        <w:rPr>
          <w:rFonts w:eastAsia="Times New Roman" w:cs="Times New Roman"/>
          <w:kern w:val="18"/>
          <w:sz w:val="20"/>
          <w:szCs w:val="20"/>
          <w:lang w:eastAsia="es-ES"/>
        </w:rPr>
        <w:t>ado</w:t>
      </w:r>
      <w:r w:rsidR="008305F1" w:rsidRPr="0047493C">
        <w:rPr>
          <w:rFonts w:eastAsia="Times New Roman" w:cs="Times New Roman"/>
          <w:kern w:val="18"/>
          <w:sz w:val="20"/>
          <w:szCs w:val="20"/>
          <w:lang w:eastAsia="es-ES"/>
        </w:rPr>
        <w:t xml:space="preserve"> un área de estudio de 162</w:t>
      </w:r>
      <w:r w:rsidRPr="0047493C">
        <w:rPr>
          <w:rFonts w:eastAsia="Times New Roman" w:cs="Times New Roman"/>
          <w:kern w:val="18"/>
          <w:sz w:val="20"/>
          <w:szCs w:val="20"/>
          <w:lang w:eastAsia="es-ES"/>
        </w:rPr>
        <w:t>,37</w:t>
      </w:r>
      <w:r w:rsidR="008305F1" w:rsidRPr="0047493C">
        <w:rPr>
          <w:rFonts w:eastAsia="Times New Roman" w:cs="Times New Roman"/>
          <w:kern w:val="18"/>
          <w:sz w:val="20"/>
          <w:szCs w:val="20"/>
          <w:lang w:eastAsia="es-ES"/>
        </w:rPr>
        <w:t xml:space="preserve"> ha</w:t>
      </w:r>
      <w:r w:rsidR="00B75970" w:rsidRPr="0047493C">
        <w:rPr>
          <w:rFonts w:eastAsia="Times New Roman" w:cs="Times New Roman"/>
          <w:kern w:val="18"/>
          <w:sz w:val="20"/>
          <w:szCs w:val="20"/>
          <w:lang w:eastAsia="es-ES"/>
        </w:rPr>
        <w:t xml:space="preserve">, con una densidad </w:t>
      </w:r>
      <w:r w:rsidR="005E12AF" w:rsidRPr="0047493C">
        <w:rPr>
          <w:rFonts w:eastAsia="Times New Roman" w:cs="Times New Roman"/>
          <w:kern w:val="18"/>
          <w:sz w:val="20"/>
          <w:szCs w:val="20"/>
          <w:lang w:eastAsia="es-ES"/>
        </w:rPr>
        <w:t xml:space="preserve">arbórea </w:t>
      </w:r>
      <w:r w:rsidR="00B75970" w:rsidRPr="0047493C">
        <w:rPr>
          <w:rFonts w:eastAsia="Times New Roman" w:cs="Times New Roman"/>
          <w:kern w:val="18"/>
          <w:sz w:val="20"/>
          <w:szCs w:val="20"/>
          <w:lang w:eastAsia="es-ES"/>
        </w:rPr>
        <w:t>uniformemente distribuida</w:t>
      </w:r>
      <w:r w:rsidR="005E12AF" w:rsidRPr="0047493C">
        <w:rPr>
          <w:rFonts w:eastAsia="Times New Roman" w:cs="Times New Roman"/>
          <w:kern w:val="18"/>
          <w:sz w:val="20"/>
          <w:szCs w:val="20"/>
          <w:lang w:eastAsia="es-ES"/>
        </w:rPr>
        <w:t xml:space="preserve"> de </w:t>
      </w:r>
      <w:r w:rsidR="00F575D8" w:rsidRPr="0047493C">
        <w:rPr>
          <w:rFonts w:eastAsia="Times New Roman" w:cs="Times New Roman"/>
          <w:kern w:val="18"/>
          <w:sz w:val="20"/>
          <w:szCs w:val="20"/>
          <w:lang w:eastAsia="es-ES"/>
        </w:rPr>
        <w:t>2</w:t>
      </w:r>
      <w:r w:rsidR="005E12AF" w:rsidRPr="0047493C">
        <w:rPr>
          <w:rFonts w:eastAsia="Times New Roman" w:cs="Times New Roman"/>
          <w:kern w:val="18"/>
          <w:sz w:val="20"/>
          <w:szCs w:val="20"/>
          <w:lang w:eastAsia="es-ES"/>
        </w:rPr>
        <w:t>1</w:t>
      </w:r>
      <w:r w:rsidR="00F575D8" w:rsidRPr="0047493C">
        <w:rPr>
          <w:rFonts w:eastAsia="Times New Roman" w:cs="Times New Roman"/>
          <w:kern w:val="18"/>
          <w:sz w:val="20"/>
          <w:szCs w:val="20"/>
          <w:lang w:eastAsia="es-ES"/>
        </w:rPr>
        <w:t xml:space="preserve"> </w:t>
      </w:r>
      <w:r w:rsidR="00B75970" w:rsidRPr="0047493C">
        <w:rPr>
          <w:rFonts w:eastAsia="Times New Roman" w:cs="Times New Roman"/>
          <w:kern w:val="18"/>
          <w:sz w:val="20"/>
          <w:szCs w:val="20"/>
          <w:lang w:eastAsia="es-ES"/>
        </w:rPr>
        <w:t>pies/ha</w:t>
      </w:r>
      <w:r w:rsidR="005E12AF" w:rsidRPr="0047493C">
        <w:rPr>
          <w:rFonts w:eastAsia="Times New Roman" w:cs="Times New Roman"/>
          <w:kern w:val="18"/>
          <w:sz w:val="20"/>
          <w:szCs w:val="20"/>
          <w:lang w:eastAsia="es-ES"/>
        </w:rPr>
        <w:t>.</w:t>
      </w:r>
      <w:r w:rsidRPr="0047493C">
        <w:rPr>
          <w:rFonts w:eastAsia="Times New Roman" w:cs="Times New Roman"/>
          <w:kern w:val="18"/>
          <w:sz w:val="20"/>
          <w:szCs w:val="20"/>
          <w:lang w:eastAsia="es-ES"/>
        </w:rPr>
        <w:t xml:space="preserve"> </w:t>
      </w:r>
      <w:r w:rsidR="005E12AF" w:rsidRPr="0047493C">
        <w:rPr>
          <w:rFonts w:eastAsia="Times New Roman" w:cs="Times New Roman"/>
          <w:kern w:val="18"/>
          <w:sz w:val="20"/>
          <w:szCs w:val="20"/>
          <w:lang w:eastAsia="es-ES"/>
        </w:rPr>
        <w:t xml:space="preserve">La delimitación de la </w:t>
      </w:r>
      <w:r w:rsidR="00627405" w:rsidRPr="0047493C">
        <w:rPr>
          <w:rFonts w:eastAsia="Times New Roman" w:cs="Times New Roman"/>
          <w:kern w:val="18"/>
          <w:sz w:val="20"/>
          <w:szCs w:val="20"/>
          <w:lang w:eastAsia="es-ES"/>
        </w:rPr>
        <w:t xml:space="preserve">cabida </w:t>
      </w:r>
      <w:r w:rsidR="005E12AF" w:rsidRPr="0047493C">
        <w:rPr>
          <w:rFonts w:eastAsia="Times New Roman" w:cs="Times New Roman"/>
          <w:kern w:val="18"/>
          <w:sz w:val="20"/>
          <w:szCs w:val="20"/>
          <w:lang w:eastAsia="es-ES"/>
        </w:rPr>
        <w:t xml:space="preserve">cubierta </w:t>
      </w:r>
      <w:r w:rsidRPr="0047493C">
        <w:rPr>
          <w:rFonts w:eastAsia="Times New Roman" w:cs="Times New Roman"/>
          <w:kern w:val="18"/>
          <w:sz w:val="20"/>
          <w:szCs w:val="20"/>
          <w:lang w:eastAsia="es-ES"/>
        </w:rPr>
        <w:t xml:space="preserve">se ha realizado </w:t>
      </w:r>
      <w:r w:rsidR="00A31BA1" w:rsidRPr="0047493C">
        <w:rPr>
          <w:rFonts w:eastAsia="Times New Roman" w:cs="Times New Roman"/>
          <w:kern w:val="18"/>
          <w:sz w:val="20"/>
          <w:szCs w:val="20"/>
          <w:lang w:eastAsia="es-ES"/>
        </w:rPr>
        <w:t>mediante el</w:t>
      </w:r>
      <w:r w:rsidRPr="0047493C">
        <w:rPr>
          <w:rFonts w:eastAsia="Times New Roman" w:cs="Times New Roman"/>
          <w:kern w:val="18"/>
          <w:sz w:val="20"/>
          <w:szCs w:val="20"/>
          <w:lang w:eastAsia="es-ES"/>
        </w:rPr>
        <w:t xml:space="preserve"> modelo digital de superficie, clasificación orientada a o</w:t>
      </w:r>
      <w:r w:rsidR="005E12AF" w:rsidRPr="0047493C">
        <w:rPr>
          <w:rFonts w:eastAsia="Times New Roman" w:cs="Times New Roman"/>
          <w:kern w:val="18"/>
          <w:sz w:val="20"/>
          <w:szCs w:val="20"/>
          <w:lang w:eastAsia="es-ES"/>
        </w:rPr>
        <w:t>bjetos y la combinación de ambas</w:t>
      </w:r>
      <w:r w:rsidRPr="0047493C">
        <w:rPr>
          <w:rFonts w:eastAsia="Times New Roman" w:cs="Times New Roman"/>
          <w:kern w:val="18"/>
          <w:sz w:val="20"/>
          <w:szCs w:val="20"/>
          <w:lang w:eastAsia="es-ES"/>
        </w:rPr>
        <w:t xml:space="preserve">, obteniéndose una </w:t>
      </w:r>
      <w:r w:rsidR="00501855" w:rsidRPr="0047493C">
        <w:rPr>
          <w:rFonts w:eastAsia="Times New Roman" w:cs="Times New Roman"/>
          <w:kern w:val="18"/>
          <w:sz w:val="20"/>
          <w:szCs w:val="20"/>
          <w:lang w:eastAsia="es-ES"/>
        </w:rPr>
        <w:t>exactitud</w:t>
      </w:r>
      <w:r w:rsidRPr="0047493C">
        <w:rPr>
          <w:rFonts w:eastAsia="Times New Roman" w:cs="Times New Roman"/>
          <w:kern w:val="18"/>
          <w:sz w:val="20"/>
          <w:szCs w:val="20"/>
          <w:lang w:eastAsia="es-ES"/>
        </w:rPr>
        <w:t xml:space="preserve"> </w:t>
      </w:r>
      <w:r w:rsidR="00B21295" w:rsidRPr="0047493C">
        <w:rPr>
          <w:rFonts w:eastAsia="Times New Roman" w:cs="Times New Roman"/>
          <w:kern w:val="18"/>
          <w:sz w:val="20"/>
          <w:szCs w:val="20"/>
          <w:lang w:eastAsia="es-ES"/>
        </w:rPr>
        <w:t>global</w:t>
      </w:r>
      <w:r w:rsidRPr="0047493C">
        <w:rPr>
          <w:rFonts w:eastAsia="Times New Roman" w:cs="Times New Roman"/>
          <w:kern w:val="18"/>
          <w:sz w:val="20"/>
          <w:szCs w:val="20"/>
          <w:lang w:eastAsia="es-ES"/>
        </w:rPr>
        <w:t xml:space="preserve"> de </w:t>
      </w:r>
      <w:r w:rsidR="00BD61A0" w:rsidRPr="0047493C">
        <w:rPr>
          <w:rFonts w:eastAsia="Times New Roman" w:cs="Times New Roman"/>
          <w:kern w:val="18"/>
          <w:sz w:val="20"/>
          <w:szCs w:val="20"/>
          <w:lang w:eastAsia="es-ES"/>
        </w:rPr>
        <w:t>93,75</w:t>
      </w:r>
      <w:r w:rsidRPr="0047493C">
        <w:rPr>
          <w:rFonts w:eastAsia="Times New Roman" w:cs="Times New Roman"/>
          <w:kern w:val="18"/>
          <w:sz w:val="20"/>
          <w:szCs w:val="20"/>
          <w:lang w:eastAsia="es-ES"/>
        </w:rPr>
        <w:t xml:space="preserve">%, </w:t>
      </w:r>
      <w:r w:rsidR="00BD61A0" w:rsidRPr="0047493C">
        <w:rPr>
          <w:rFonts w:eastAsia="Times New Roman" w:cs="Times New Roman"/>
          <w:kern w:val="18"/>
          <w:sz w:val="20"/>
          <w:szCs w:val="20"/>
          <w:lang w:eastAsia="es-ES"/>
        </w:rPr>
        <w:t>96,48</w:t>
      </w:r>
      <w:r w:rsidRPr="0047493C">
        <w:rPr>
          <w:rFonts w:eastAsia="Times New Roman" w:cs="Times New Roman"/>
          <w:kern w:val="18"/>
          <w:sz w:val="20"/>
          <w:szCs w:val="20"/>
          <w:lang w:eastAsia="es-ES"/>
        </w:rPr>
        <w:t xml:space="preserve">% y </w:t>
      </w:r>
      <w:r w:rsidR="00BD61A0" w:rsidRPr="0047493C">
        <w:rPr>
          <w:rFonts w:eastAsia="Times New Roman" w:cs="Times New Roman"/>
          <w:kern w:val="18"/>
          <w:sz w:val="20"/>
          <w:szCs w:val="20"/>
          <w:lang w:eastAsia="es-ES"/>
        </w:rPr>
        <w:t>96,05</w:t>
      </w:r>
      <w:r w:rsidRPr="0047493C">
        <w:rPr>
          <w:rFonts w:eastAsia="Times New Roman" w:cs="Times New Roman"/>
          <w:kern w:val="18"/>
          <w:sz w:val="20"/>
          <w:szCs w:val="20"/>
          <w:lang w:eastAsia="es-ES"/>
        </w:rPr>
        <w:t>% respectivamente.</w:t>
      </w:r>
      <w:r w:rsidR="005E12AF" w:rsidRPr="0047493C">
        <w:rPr>
          <w:rFonts w:eastAsia="Times New Roman" w:cs="Times New Roman"/>
          <w:kern w:val="18"/>
          <w:sz w:val="20"/>
          <w:szCs w:val="20"/>
          <w:lang w:eastAsia="es-ES"/>
        </w:rPr>
        <w:t xml:space="preserve"> </w:t>
      </w:r>
      <w:r w:rsidR="00501855" w:rsidRPr="0047493C">
        <w:rPr>
          <w:rFonts w:eastAsia="Times New Roman" w:cs="Times New Roman"/>
          <w:kern w:val="18"/>
          <w:sz w:val="20"/>
          <w:szCs w:val="20"/>
          <w:lang w:eastAsia="es-ES"/>
        </w:rPr>
        <w:t>De este modo</w:t>
      </w:r>
      <w:r w:rsidR="00246612" w:rsidRPr="0047493C">
        <w:rPr>
          <w:rFonts w:eastAsia="Times New Roman" w:cs="Times New Roman"/>
          <w:kern w:val="18"/>
          <w:sz w:val="20"/>
          <w:szCs w:val="20"/>
          <w:lang w:eastAsia="es-ES"/>
        </w:rPr>
        <w:t>,</w:t>
      </w:r>
      <w:r w:rsidR="00A31BA1" w:rsidRPr="0047493C">
        <w:rPr>
          <w:rFonts w:eastAsia="Times New Roman" w:cs="Times New Roman"/>
          <w:kern w:val="18"/>
          <w:sz w:val="20"/>
          <w:szCs w:val="20"/>
          <w:lang w:eastAsia="es-ES"/>
        </w:rPr>
        <w:t xml:space="preserve"> </w:t>
      </w:r>
      <w:r w:rsidR="00817ED8" w:rsidRPr="0047493C">
        <w:rPr>
          <w:rFonts w:eastAsia="Times New Roman" w:cs="Times New Roman"/>
          <w:kern w:val="18"/>
          <w:sz w:val="20"/>
          <w:szCs w:val="20"/>
          <w:lang w:eastAsia="es-ES"/>
        </w:rPr>
        <w:t>en</w:t>
      </w:r>
      <w:r w:rsidR="005E12AF" w:rsidRPr="0047493C">
        <w:rPr>
          <w:rFonts w:eastAsia="Times New Roman" w:cs="Times New Roman"/>
          <w:kern w:val="18"/>
          <w:sz w:val="20"/>
          <w:szCs w:val="20"/>
          <w:lang w:eastAsia="es-ES"/>
        </w:rPr>
        <w:t xml:space="preserve"> áreas </w:t>
      </w:r>
      <w:r w:rsidR="00246612" w:rsidRPr="0047493C">
        <w:rPr>
          <w:rFonts w:eastAsia="Times New Roman" w:cs="Times New Roman"/>
          <w:kern w:val="18"/>
          <w:sz w:val="20"/>
          <w:szCs w:val="20"/>
          <w:lang w:eastAsia="es-ES"/>
        </w:rPr>
        <w:t xml:space="preserve">de dehesa </w:t>
      </w:r>
      <w:r w:rsidR="005E12AF" w:rsidRPr="0047493C">
        <w:rPr>
          <w:rFonts w:eastAsia="Times New Roman" w:cs="Times New Roman"/>
          <w:kern w:val="18"/>
          <w:sz w:val="20"/>
          <w:szCs w:val="20"/>
          <w:lang w:eastAsia="es-ES"/>
        </w:rPr>
        <w:t xml:space="preserve">con </w:t>
      </w:r>
      <w:r w:rsidR="00C82D5F" w:rsidRPr="0047493C">
        <w:rPr>
          <w:rFonts w:eastAsia="Times New Roman" w:cs="Times New Roman"/>
          <w:kern w:val="18"/>
          <w:sz w:val="20"/>
          <w:szCs w:val="20"/>
          <w:lang w:eastAsia="es-ES"/>
        </w:rPr>
        <w:t>estratos</w:t>
      </w:r>
      <w:r w:rsidR="005E12AF" w:rsidRPr="0047493C">
        <w:rPr>
          <w:rFonts w:eastAsia="Times New Roman" w:cs="Times New Roman"/>
          <w:kern w:val="18"/>
          <w:sz w:val="20"/>
          <w:szCs w:val="20"/>
          <w:lang w:eastAsia="es-ES"/>
        </w:rPr>
        <w:t xml:space="preserve"> de vegetación </w:t>
      </w:r>
      <w:r w:rsidR="00246612" w:rsidRPr="0047493C">
        <w:rPr>
          <w:rFonts w:eastAsia="Times New Roman" w:cs="Times New Roman"/>
          <w:kern w:val="18"/>
          <w:sz w:val="20"/>
          <w:szCs w:val="20"/>
          <w:lang w:eastAsia="es-ES"/>
        </w:rPr>
        <w:t>claramente diferenciados por su respuesta espectral</w:t>
      </w:r>
      <w:r w:rsidR="005E12AF" w:rsidRPr="0047493C">
        <w:rPr>
          <w:rFonts w:eastAsia="Times New Roman" w:cs="Times New Roman"/>
          <w:kern w:val="18"/>
          <w:sz w:val="20"/>
          <w:szCs w:val="20"/>
          <w:lang w:eastAsia="es-ES"/>
        </w:rPr>
        <w:t>, la clasificación orientada a objetos resulta adecuada para la determinación de la fracción de cabida cubierta, no detect</w:t>
      </w:r>
      <w:r w:rsidR="00246612" w:rsidRPr="0047493C">
        <w:rPr>
          <w:rFonts w:eastAsia="Times New Roman" w:cs="Times New Roman"/>
          <w:kern w:val="18"/>
          <w:sz w:val="20"/>
          <w:szCs w:val="20"/>
          <w:lang w:eastAsia="es-ES"/>
        </w:rPr>
        <w:t>ándose</w:t>
      </w:r>
      <w:r w:rsidR="005E12AF" w:rsidRPr="0047493C">
        <w:rPr>
          <w:rFonts w:eastAsia="Times New Roman" w:cs="Times New Roman"/>
          <w:kern w:val="18"/>
          <w:sz w:val="20"/>
          <w:szCs w:val="20"/>
          <w:lang w:eastAsia="es-ES"/>
        </w:rPr>
        <w:t xml:space="preserve"> incremento de la </w:t>
      </w:r>
      <w:r w:rsidR="00501855" w:rsidRPr="0047493C">
        <w:rPr>
          <w:rFonts w:eastAsia="Times New Roman" w:cs="Times New Roman"/>
          <w:kern w:val="18"/>
          <w:sz w:val="20"/>
          <w:szCs w:val="20"/>
          <w:lang w:eastAsia="es-ES"/>
        </w:rPr>
        <w:t xml:space="preserve">exactitud </w:t>
      </w:r>
      <w:r w:rsidR="005E12AF" w:rsidRPr="0047493C">
        <w:rPr>
          <w:rFonts w:eastAsia="Times New Roman" w:cs="Times New Roman"/>
          <w:kern w:val="18"/>
          <w:sz w:val="20"/>
          <w:szCs w:val="20"/>
          <w:lang w:eastAsia="es-ES"/>
        </w:rPr>
        <w:t xml:space="preserve">derivado de la </w:t>
      </w:r>
      <w:r w:rsidR="00246612" w:rsidRPr="0047493C">
        <w:rPr>
          <w:rFonts w:eastAsia="Times New Roman" w:cs="Times New Roman"/>
          <w:kern w:val="18"/>
          <w:sz w:val="20"/>
          <w:szCs w:val="20"/>
          <w:lang w:eastAsia="es-ES"/>
        </w:rPr>
        <w:t>inclusión de</w:t>
      </w:r>
      <w:r w:rsidR="005E12AF" w:rsidRPr="0047493C">
        <w:rPr>
          <w:rFonts w:eastAsia="Times New Roman" w:cs="Times New Roman"/>
          <w:kern w:val="18"/>
          <w:sz w:val="20"/>
          <w:szCs w:val="20"/>
          <w:lang w:eastAsia="es-ES"/>
        </w:rPr>
        <w:t xml:space="preserve"> datos LiDAR.</w:t>
      </w:r>
    </w:p>
    <w:p w14:paraId="1149EDFD" w14:textId="77777777" w:rsidR="00C81027" w:rsidRDefault="008305F1" w:rsidP="008305F1">
      <w:pPr>
        <w:rPr>
          <w:rFonts w:eastAsia="Times New Roman" w:cs="Times New Roman"/>
          <w:kern w:val="18"/>
          <w:sz w:val="20"/>
          <w:szCs w:val="20"/>
          <w:lang w:eastAsia="es-ES"/>
        </w:rPr>
      </w:pPr>
      <w:r w:rsidRPr="0047493C">
        <w:rPr>
          <w:rFonts w:eastAsia="Times New Roman" w:cs="Times New Roman"/>
          <w:kern w:val="18"/>
          <w:sz w:val="20"/>
          <w:szCs w:val="20"/>
          <w:lang w:eastAsia="es-ES"/>
        </w:rPr>
        <w:t>Palabras clave:</w:t>
      </w:r>
      <w:r w:rsidR="00246612" w:rsidRPr="0047493C">
        <w:rPr>
          <w:rFonts w:eastAsia="Times New Roman" w:cs="Times New Roman"/>
          <w:kern w:val="18"/>
          <w:sz w:val="20"/>
          <w:szCs w:val="20"/>
          <w:lang w:eastAsia="es-ES"/>
        </w:rPr>
        <w:t xml:space="preserve"> </w:t>
      </w:r>
      <w:r w:rsidR="005004FD" w:rsidRPr="0047493C">
        <w:rPr>
          <w:rFonts w:eastAsia="Times New Roman" w:cs="Times New Roman"/>
          <w:kern w:val="18"/>
          <w:sz w:val="20"/>
          <w:szCs w:val="20"/>
          <w:lang w:eastAsia="es-ES"/>
        </w:rPr>
        <w:t>dehesa; cobertura arbórea; ortofotografía; clasificación orientada a objetos; LiDAR</w:t>
      </w:r>
      <w:r w:rsidR="005D6D35" w:rsidRPr="0047493C">
        <w:rPr>
          <w:rFonts w:eastAsia="Times New Roman" w:cs="Times New Roman"/>
          <w:kern w:val="18"/>
          <w:sz w:val="20"/>
          <w:szCs w:val="20"/>
          <w:lang w:eastAsia="es-ES"/>
        </w:rPr>
        <w:t>; infrarrojo</w:t>
      </w:r>
      <w:r w:rsidR="005004FD" w:rsidRPr="0047493C">
        <w:rPr>
          <w:rFonts w:eastAsia="Times New Roman" w:cs="Times New Roman"/>
          <w:kern w:val="18"/>
          <w:sz w:val="20"/>
          <w:szCs w:val="20"/>
          <w:lang w:eastAsia="es-ES"/>
        </w:rPr>
        <w:t>.</w:t>
      </w:r>
    </w:p>
    <w:p w14:paraId="6D7B0F42" w14:textId="77777777" w:rsidR="0060223D" w:rsidRPr="0047493C" w:rsidRDefault="0060223D" w:rsidP="008305F1">
      <w:pPr>
        <w:rPr>
          <w:rFonts w:eastAsia="Times New Roman" w:cs="Times New Roman"/>
          <w:kern w:val="18"/>
          <w:sz w:val="20"/>
          <w:szCs w:val="20"/>
          <w:lang w:eastAsia="es-ES"/>
        </w:rPr>
      </w:pPr>
    </w:p>
    <w:p w14:paraId="5C3BABBF" w14:textId="77777777" w:rsidR="00C81027" w:rsidRPr="006F4F8B" w:rsidRDefault="00C81027" w:rsidP="00C81027">
      <w:pPr>
        <w:rPr>
          <w:b/>
          <w:lang w:val="en-US"/>
        </w:rPr>
      </w:pPr>
      <w:r w:rsidRPr="006F4F8B">
        <w:rPr>
          <w:b/>
          <w:lang w:val="en-US"/>
        </w:rPr>
        <w:t>ABSTRACT</w:t>
      </w:r>
    </w:p>
    <w:p w14:paraId="6D19A6D0" w14:textId="322DC7F2" w:rsidR="00501855" w:rsidRPr="0047493C" w:rsidRDefault="00190657" w:rsidP="00190657">
      <w:pPr>
        <w:rPr>
          <w:rFonts w:eastAsia="Times New Roman" w:cs="Times New Roman"/>
          <w:kern w:val="18"/>
          <w:sz w:val="20"/>
          <w:szCs w:val="20"/>
          <w:lang w:val="en-US" w:eastAsia="es-ES"/>
        </w:rPr>
      </w:pPr>
      <w:r w:rsidRPr="0047493C">
        <w:rPr>
          <w:rFonts w:eastAsia="Times New Roman" w:cs="Times New Roman"/>
          <w:kern w:val="18"/>
          <w:sz w:val="20"/>
          <w:szCs w:val="20"/>
          <w:lang w:val="en-US" w:eastAsia="es-ES"/>
        </w:rPr>
        <w:t xml:space="preserve">The accurate determination of canopy cover in dehesa is </w:t>
      </w:r>
      <w:r w:rsidR="00501855" w:rsidRPr="0047493C">
        <w:rPr>
          <w:rFonts w:eastAsia="Times New Roman" w:cs="Times New Roman"/>
          <w:kern w:val="18"/>
          <w:sz w:val="20"/>
          <w:szCs w:val="20"/>
          <w:lang w:val="en-US" w:eastAsia="es-ES"/>
        </w:rPr>
        <w:t>crucial</w:t>
      </w:r>
      <w:r w:rsidRPr="0047493C">
        <w:rPr>
          <w:rFonts w:eastAsia="Times New Roman" w:cs="Times New Roman"/>
          <w:kern w:val="18"/>
          <w:sz w:val="20"/>
          <w:szCs w:val="20"/>
          <w:lang w:val="en-US" w:eastAsia="es-ES"/>
        </w:rPr>
        <w:t xml:space="preserve"> to analyze </w:t>
      </w:r>
      <w:r w:rsidR="00501855" w:rsidRPr="0047493C">
        <w:rPr>
          <w:rFonts w:eastAsia="Times New Roman" w:cs="Times New Roman"/>
          <w:kern w:val="18"/>
          <w:sz w:val="20"/>
          <w:szCs w:val="20"/>
          <w:lang w:val="en-US" w:eastAsia="es-ES"/>
        </w:rPr>
        <w:t>the</w:t>
      </w:r>
      <w:r w:rsidR="00200B5C" w:rsidRPr="0047493C">
        <w:rPr>
          <w:rFonts w:eastAsia="Times New Roman" w:cs="Times New Roman"/>
          <w:kern w:val="18"/>
          <w:sz w:val="20"/>
          <w:szCs w:val="20"/>
          <w:lang w:val="en-US" w:eastAsia="es-ES"/>
        </w:rPr>
        <w:t xml:space="preserve"> role</w:t>
      </w:r>
      <w:r w:rsidR="00501855" w:rsidRPr="0047493C">
        <w:rPr>
          <w:rFonts w:eastAsia="Times New Roman" w:cs="Times New Roman"/>
          <w:kern w:val="18"/>
          <w:sz w:val="20"/>
          <w:szCs w:val="20"/>
          <w:lang w:val="en-US" w:eastAsia="es-ES"/>
        </w:rPr>
        <w:t xml:space="preserve"> of trees</w:t>
      </w:r>
      <w:r w:rsidR="00200B5C" w:rsidRPr="0047493C">
        <w:rPr>
          <w:rFonts w:eastAsia="Times New Roman" w:cs="Times New Roman"/>
          <w:kern w:val="18"/>
          <w:sz w:val="20"/>
          <w:szCs w:val="20"/>
          <w:lang w:val="en-US" w:eastAsia="es-ES"/>
        </w:rPr>
        <w:t xml:space="preserve"> in this system at</w:t>
      </w:r>
      <w:r w:rsidRPr="0047493C">
        <w:rPr>
          <w:rFonts w:eastAsia="Times New Roman" w:cs="Times New Roman"/>
          <w:kern w:val="18"/>
          <w:sz w:val="20"/>
          <w:szCs w:val="20"/>
          <w:lang w:val="en-US" w:eastAsia="es-ES"/>
        </w:rPr>
        <w:t xml:space="preserve"> multiple scales. This </w:t>
      </w:r>
      <w:r w:rsidR="00200B5C" w:rsidRPr="0047493C">
        <w:rPr>
          <w:rFonts w:eastAsia="Times New Roman" w:cs="Times New Roman"/>
          <w:kern w:val="18"/>
          <w:sz w:val="20"/>
          <w:szCs w:val="20"/>
          <w:lang w:val="en-US" w:eastAsia="es-ES"/>
        </w:rPr>
        <w:t>study</w:t>
      </w:r>
      <w:r w:rsidRPr="0047493C">
        <w:rPr>
          <w:rFonts w:eastAsia="Times New Roman" w:cs="Times New Roman"/>
          <w:kern w:val="18"/>
          <w:sz w:val="20"/>
          <w:szCs w:val="20"/>
          <w:lang w:val="en-US" w:eastAsia="es-ES"/>
        </w:rPr>
        <w:t xml:space="preserve"> </w:t>
      </w:r>
      <w:r w:rsidR="00501855" w:rsidRPr="0047493C">
        <w:rPr>
          <w:rFonts w:eastAsia="Times New Roman" w:cs="Times New Roman"/>
          <w:kern w:val="18"/>
          <w:sz w:val="20"/>
          <w:szCs w:val="20"/>
          <w:lang w:val="en-US" w:eastAsia="es-ES"/>
        </w:rPr>
        <w:t>focuses on</w:t>
      </w:r>
      <w:r w:rsidRPr="0047493C">
        <w:rPr>
          <w:rFonts w:eastAsia="Times New Roman" w:cs="Times New Roman"/>
          <w:kern w:val="18"/>
          <w:sz w:val="20"/>
          <w:szCs w:val="20"/>
          <w:lang w:val="en-US" w:eastAsia="es-ES"/>
        </w:rPr>
        <w:t xml:space="preserve"> this determination based </w:t>
      </w:r>
      <w:r w:rsidR="00501855" w:rsidRPr="0047493C">
        <w:rPr>
          <w:rFonts w:eastAsia="Times New Roman" w:cs="Times New Roman"/>
          <w:kern w:val="18"/>
          <w:sz w:val="20"/>
          <w:szCs w:val="20"/>
          <w:lang w:val="en-US" w:eastAsia="es-ES"/>
        </w:rPr>
        <w:t>by means of infrared orthophotographs</w:t>
      </w:r>
      <w:r w:rsidRPr="0047493C">
        <w:rPr>
          <w:rFonts w:eastAsia="Times New Roman" w:cs="Times New Roman"/>
          <w:kern w:val="18"/>
          <w:sz w:val="20"/>
          <w:szCs w:val="20"/>
          <w:lang w:val="en-US" w:eastAsia="es-ES"/>
        </w:rPr>
        <w:t xml:space="preserve"> and LiDAR data, </w:t>
      </w:r>
      <w:r w:rsidR="00501855" w:rsidRPr="0047493C">
        <w:rPr>
          <w:rFonts w:eastAsia="Times New Roman" w:cs="Times New Roman"/>
          <w:kern w:val="18"/>
          <w:sz w:val="20"/>
          <w:szCs w:val="20"/>
          <w:lang w:val="en-US" w:eastAsia="es-ES"/>
        </w:rPr>
        <w:t xml:space="preserve">both belonging to </w:t>
      </w:r>
      <w:r w:rsidRPr="0047493C">
        <w:rPr>
          <w:rFonts w:eastAsia="Times New Roman" w:cs="Times New Roman"/>
          <w:kern w:val="18"/>
          <w:sz w:val="20"/>
          <w:szCs w:val="20"/>
          <w:lang w:val="en-US" w:eastAsia="es-ES"/>
        </w:rPr>
        <w:t>National Plan of Aerial Orthophotography.</w:t>
      </w:r>
      <w:r w:rsidR="00FF70B0" w:rsidRPr="0047493C">
        <w:rPr>
          <w:rFonts w:eastAsia="Times New Roman" w:cs="Times New Roman"/>
          <w:kern w:val="18"/>
          <w:sz w:val="20"/>
          <w:szCs w:val="20"/>
          <w:lang w:val="en-US" w:eastAsia="es-ES"/>
        </w:rPr>
        <w:t xml:space="preserve"> </w:t>
      </w:r>
      <w:r w:rsidRPr="0047493C">
        <w:rPr>
          <w:rFonts w:eastAsia="Times New Roman" w:cs="Times New Roman"/>
          <w:kern w:val="18"/>
          <w:sz w:val="20"/>
          <w:szCs w:val="20"/>
          <w:lang w:val="en-US" w:eastAsia="es-ES"/>
        </w:rPr>
        <w:t>A study area of 162</w:t>
      </w:r>
      <w:r w:rsidR="006F4F8B" w:rsidRPr="0047493C">
        <w:rPr>
          <w:rFonts w:eastAsia="Times New Roman" w:cs="Times New Roman"/>
          <w:kern w:val="18"/>
          <w:sz w:val="20"/>
          <w:szCs w:val="20"/>
          <w:lang w:val="en-US" w:eastAsia="es-ES"/>
        </w:rPr>
        <w:t>.</w:t>
      </w:r>
      <w:r w:rsidRPr="0047493C">
        <w:rPr>
          <w:rFonts w:eastAsia="Times New Roman" w:cs="Times New Roman"/>
          <w:kern w:val="18"/>
          <w:sz w:val="20"/>
          <w:szCs w:val="20"/>
          <w:lang w:val="en-US" w:eastAsia="es-ES"/>
        </w:rPr>
        <w:t xml:space="preserve">37 ha has been </w:t>
      </w:r>
      <w:r w:rsidR="00501855" w:rsidRPr="0047493C">
        <w:rPr>
          <w:rFonts w:eastAsia="Times New Roman" w:cs="Times New Roman"/>
          <w:kern w:val="18"/>
          <w:sz w:val="20"/>
          <w:szCs w:val="20"/>
          <w:lang w:val="en-US" w:eastAsia="es-ES"/>
        </w:rPr>
        <w:t>considered</w:t>
      </w:r>
      <w:r w:rsidR="00200B5C" w:rsidRPr="0047493C">
        <w:rPr>
          <w:rFonts w:eastAsia="Times New Roman" w:cs="Times New Roman"/>
          <w:kern w:val="18"/>
          <w:sz w:val="20"/>
          <w:szCs w:val="20"/>
          <w:lang w:val="en-US" w:eastAsia="es-ES"/>
        </w:rPr>
        <w:t>.</w:t>
      </w:r>
      <w:r w:rsidRPr="0047493C">
        <w:rPr>
          <w:rFonts w:eastAsia="Times New Roman" w:cs="Times New Roman"/>
          <w:kern w:val="18"/>
          <w:sz w:val="20"/>
          <w:szCs w:val="20"/>
          <w:lang w:val="en-US" w:eastAsia="es-ES"/>
        </w:rPr>
        <w:t xml:space="preserve"> </w:t>
      </w:r>
      <w:r w:rsidR="00200B5C" w:rsidRPr="0047493C">
        <w:rPr>
          <w:rFonts w:eastAsia="Times New Roman" w:cs="Times New Roman"/>
          <w:kern w:val="18"/>
          <w:sz w:val="20"/>
          <w:szCs w:val="20"/>
          <w:lang w:val="en-US" w:eastAsia="es-ES"/>
        </w:rPr>
        <w:t>This area has</w:t>
      </w:r>
      <w:r w:rsidRPr="0047493C">
        <w:rPr>
          <w:rFonts w:eastAsia="Times New Roman" w:cs="Times New Roman"/>
          <w:kern w:val="18"/>
          <w:sz w:val="20"/>
          <w:szCs w:val="20"/>
          <w:lang w:val="en-US" w:eastAsia="es-ES"/>
        </w:rPr>
        <w:t xml:space="preserve"> a </w:t>
      </w:r>
      <w:r w:rsidR="00BB2202">
        <w:rPr>
          <w:rFonts w:eastAsia="Times New Roman" w:cs="Times New Roman"/>
          <w:kern w:val="18"/>
          <w:sz w:val="20"/>
          <w:szCs w:val="20"/>
          <w:lang w:val="en-US" w:eastAsia="es-ES"/>
        </w:rPr>
        <w:t>evenly</w:t>
      </w:r>
      <w:r w:rsidR="00BB2202" w:rsidRPr="0047493C">
        <w:rPr>
          <w:rFonts w:eastAsia="Times New Roman" w:cs="Times New Roman"/>
          <w:kern w:val="18"/>
          <w:sz w:val="20"/>
          <w:szCs w:val="20"/>
          <w:lang w:val="en-US" w:eastAsia="es-ES"/>
        </w:rPr>
        <w:t xml:space="preserve"> </w:t>
      </w:r>
      <w:r w:rsidR="00200B5C" w:rsidRPr="0047493C">
        <w:rPr>
          <w:rFonts w:eastAsia="Times New Roman" w:cs="Times New Roman"/>
          <w:kern w:val="18"/>
          <w:sz w:val="20"/>
          <w:szCs w:val="20"/>
          <w:lang w:val="en-US" w:eastAsia="es-ES"/>
        </w:rPr>
        <w:t xml:space="preserve">distributed </w:t>
      </w:r>
      <w:r w:rsidRPr="0047493C">
        <w:rPr>
          <w:rFonts w:eastAsia="Times New Roman" w:cs="Times New Roman"/>
          <w:kern w:val="18"/>
          <w:sz w:val="20"/>
          <w:szCs w:val="20"/>
          <w:lang w:val="en-US" w:eastAsia="es-ES"/>
        </w:rPr>
        <w:t xml:space="preserve">tree density </w:t>
      </w:r>
      <w:r w:rsidR="00200B5C" w:rsidRPr="0047493C">
        <w:rPr>
          <w:rFonts w:eastAsia="Times New Roman" w:cs="Times New Roman"/>
          <w:kern w:val="18"/>
          <w:sz w:val="20"/>
          <w:szCs w:val="20"/>
          <w:lang w:val="en-US" w:eastAsia="es-ES"/>
        </w:rPr>
        <w:t xml:space="preserve">of 21 </w:t>
      </w:r>
      <w:r w:rsidR="00817ED8" w:rsidRPr="0047493C">
        <w:rPr>
          <w:rFonts w:eastAsia="Times New Roman" w:cs="Times New Roman"/>
          <w:kern w:val="18"/>
          <w:sz w:val="20"/>
          <w:szCs w:val="20"/>
          <w:lang w:val="en-US" w:eastAsia="es-ES"/>
        </w:rPr>
        <w:t>trees</w:t>
      </w:r>
      <w:r w:rsidR="00200B5C" w:rsidRPr="0047493C">
        <w:rPr>
          <w:rFonts w:eastAsia="Times New Roman" w:cs="Times New Roman"/>
          <w:kern w:val="18"/>
          <w:sz w:val="20"/>
          <w:szCs w:val="20"/>
          <w:lang w:val="en-US" w:eastAsia="es-ES"/>
        </w:rPr>
        <w:t>/</w:t>
      </w:r>
      <w:r w:rsidRPr="0047493C">
        <w:rPr>
          <w:rFonts w:eastAsia="Times New Roman" w:cs="Times New Roman"/>
          <w:kern w:val="18"/>
          <w:sz w:val="20"/>
          <w:szCs w:val="20"/>
          <w:lang w:val="en-US" w:eastAsia="es-ES"/>
        </w:rPr>
        <w:t xml:space="preserve">ha. The </w:t>
      </w:r>
      <w:r w:rsidR="00200B5C" w:rsidRPr="0047493C">
        <w:rPr>
          <w:rFonts w:eastAsia="Times New Roman" w:cs="Times New Roman"/>
          <w:kern w:val="18"/>
          <w:sz w:val="20"/>
          <w:szCs w:val="20"/>
          <w:lang w:val="en-US" w:eastAsia="es-ES"/>
        </w:rPr>
        <w:t xml:space="preserve">canopy cover </w:t>
      </w:r>
      <w:r w:rsidRPr="0047493C">
        <w:rPr>
          <w:rFonts w:eastAsia="Times New Roman" w:cs="Times New Roman"/>
          <w:kern w:val="18"/>
          <w:sz w:val="20"/>
          <w:szCs w:val="20"/>
          <w:lang w:val="en-US" w:eastAsia="es-ES"/>
        </w:rPr>
        <w:t>de</w:t>
      </w:r>
      <w:r w:rsidR="00200B5C" w:rsidRPr="0047493C">
        <w:rPr>
          <w:rFonts w:eastAsia="Times New Roman" w:cs="Times New Roman"/>
          <w:kern w:val="18"/>
          <w:sz w:val="20"/>
          <w:szCs w:val="20"/>
          <w:lang w:val="en-US" w:eastAsia="es-ES"/>
        </w:rPr>
        <w:t>lineation</w:t>
      </w:r>
      <w:r w:rsidRPr="0047493C">
        <w:rPr>
          <w:rFonts w:eastAsia="Times New Roman" w:cs="Times New Roman"/>
          <w:kern w:val="18"/>
          <w:sz w:val="20"/>
          <w:szCs w:val="20"/>
          <w:lang w:val="en-US" w:eastAsia="es-ES"/>
        </w:rPr>
        <w:t xml:space="preserve"> has been </w:t>
      </w:r>
      <w:r w:rsidR="00200B5C" w:rsidRPr="0047493C">
        <w:rPr>
          <w:rFonts w:eastAsia="Times New Roman" w:cs="Times New Roman"/>
          <w:kern w:val="18"/>
          <w:sz w:val="20"/>
          <w:szCs w:val="20"/>
          <w:lang w:val="en-US" w:eastAsia="es-ES"/>
        </w:rPr>
        <w:t>done</w:t>
      </w:r>
      <w:r w:rsidRPr="0047493C">
        <w:rPr>
          <w:rFonts w:eastAsia="Times New Roman" w:cs="Times New Roman"/>
          <w:kern w:val="18"/>
          <w:sz w:val="20"/>
          <w:szCs w:val="20"/>
          <w:lang w:val="en-US" w:eastAsia="es-ES"/>
        </w:rPr>
        <w:t xml:space="preserve"> through the digital surface model, </w:t>
      </w:r>
      <w:r w:rsidR="00C82D5F" w:rsidRPr="0047493C">
        <w:rPr>
          <w:rFonts w:eastAsia="Times New Roman" w:cs="Times New Roman"/>
          <w:kern w:val="18"/>
          <w:sz w:val="20"/>
          <w:szCs w:val="20"/>
          <w:lang w:val="en-US" w:eastAsia="es-ES"/>
        </w:rPr>
        <w:t>object-based image analysis</w:t>
      </w:r>
      <w:r w:rsidRPr="0047493C">
        <w:rPr>
          <w:rFonts w:eastAsia="Times New Roman" w:cs="Times New Roman"/>
          <w:kern w:val="18"/>
          <w:sz w:val="20"/>
          <w:szCs w:val="20"/>
          <w:lang w:val="en-US" w:eastAsia="es-ES"/>
        </w:rPr>
        <w:t xml:space="preserve"> and the combination of both, obtaining an overall accuracy of 93</w:t>
      </w:r>
      <w:r w:rsidR="006F4F8B" w:rsidRPr="0047493C">
        <w:rPr>
          <w:rFonts w:eastAsia="Times New Roman" w:cs="Times New Roman"/>
          <w:kern w:val="18"/>
          <w:sz w:val="20"/>
          <w:szCs w:val="20"/>
          <w:lang w:val="en-US" w:eastAsia="es-ES"/>
        </w:rPr>
        <w:t>.</w:t>
      </w:r>
      <w:r w:rsidRPr="0047493C">
        <w:rPr>
          <w:rFonts w:eastAsia="Times New Roman" w:cs="Times New Roman"/>
          <w:kern w:val="18"/>
          <w:sz w:val="20"/>
          <w:szCs w:val="20"/>
          <w:lang w:val="en-US" w:eastAsia="es-ES"/>
        </w:rPr>
        <w:t>75</w:t>
      </w:r>
      <w:r w:rsidR="00C82D5F" w:rsidRPr="0047493C">
        <w:rPr>
          <w:rFonts w:eastAsia="Times New Roman" w:cs="Times New Roman"/>
          <w:kern w:val="18"/>
          <w:sz w:val="20"/>
          <w:szCs w:val="20"/>
          <w:lang w:val="en-US" w:eastAsia="es-ES"/>
        </w:rPr>
        <w:t xml:space="preserve"> </w:t>
      </w:r>
      <w:r w:rsidRPr="0047493C">
        <w:rPr>
          <w:rFonts w:eastAsia="Times New Roman" w:cs="Times New Roman"/>
          <w:kern w:val="18"/>
          <w:sz w:val="20"/>
          <w:szCs w:val="20"/>
          <w:lang w:val="en-US" w:eastAsia="es-ES"/>
        </w:rPr>
        <w:t>%, 96</w:t>
      </w:r>
      <w:r w:rsidR="006F4F8B" w:rsidRPr="0047493C">
        <w:rPr>
          <w:rFonts w:eastAsia="Times New Roman" w:cs="Times New Roman"/>
          <w:kern w:val="18"/>
          <w:sz w:val="20"/>
          <w:szCs w:val="20"/>
          <w:lang w:val="en-US" w:eastAsia="es-ES"/>
        </w:rPr>
        <w:t>.</w:t>
      </w:r>
      <w:r w:rsidRPr="0047493C">
        <w:rPr>
          <w:rFonts w:eastAsia="Times New Roman" w:cs="Times New Roman"/>
          <w:kern w:val="18"/>
          <w:sz w:val="20"/>
          <w:szCs w:val="20"/>
          <w:lang w:val="en-US" w:eastAsia="es-ES"/>
        </w:rPr>
        <w:t>48</w:t>
      </w:r>
      <w:r w:rsidR="00C82D5F" w:rsidRPr="0047493C">
        <w:rPr>
          <w:rFonts w:eastAsia="Times New Roman" w:cs="Times New Roman"/>
          <w:kern w:val="18"/>
          <w:sz w:val="20"/>
          <w:szCs w:val="20"/>
          <w:lang w:val="en-US" w:eastAsia="es-ES"/>
        </w:rPr>
        <w:t xml:space="preserve"> </w:t>
      </w:r>
      <w:r w:rsidRPr="0047493C">
        <w:rPr>
          <w:rFonts w:eastAsia="Times New Roman" w:cs="Times New Roman"/>
          <w:kern w:val="18"/>
          <w:sz w:val="20"/>
          <w:szCs w:val="20"/>
          <w:lang w:val="en-US" w:eastAsia="es-ES"/>
        </w:rPr>
        <w:t>% and 96</w:t>
      </w:r>
      <w:r w:rsidR="006F4F8B" w:rsidRPr="0047493C">
        <w:rPr>
          <w:rFonts w:eastAsia="Times New Roman" w:cs="Times New Roman"/>
          <w:kern w:val="18"/>
          <w:sz w:val="20"/>
          <w:szCs w:val="20"/>
          <w:lang w:val="en-US" w:eastAsia="es-ES"/>
        </w:rPr>
        <w:t>.</w:t>
      </w:r>
      <w:r w:rsidRPr="0047493C">
        <w:rPr>
          <w:rFonts w:eastAsia="Times New Roman" w:cs="Times New Roman"/>
          <w:kern w:val="18"/>
          <w:sz w:val="20"/>
          <w:szCs w:val="20"/>
          <w:lang w:val="en-US" w:eastAsia="es-ES"/>
        </w:rPr>
        <w:t>05</w:t>
      </w:r>
      <w:r w:rsidR="00C82D5F" w:rsidRPr="0047493C">
        <w:rPr>
          <w:rFonts w:eastAsia="Times New Roman" w:cs="Times New Roman"/>
          <w:kern w:val="18"/>
          <w:sz w:val="20"/>
          <w:szCs w:val="20"/>
          <w:lang w:val="en-US" w:eastAsia="es-ES"/>
        </w:rPr>
        <w:t xml:space="preserve"> </w:t>
      </w:r>
      <w:r w:rsidRPr="0047493C">
        <w:rPr>
          <w:rFonts w:eastAsia="Times New Roman" w:cs="Times New Roman"/>
          <w:kern w:val="18"/>
          <w:sz w:val="20"/>
          <w:szCs w:val="20"/>
          <w:lang w:val="en-US" w:eastAsia="es-ES"/>
        </w:rPr>
        <w:t>% respectively.</w:t>
      </w:r>
      <w:r w:rsidR="00FF70B0" w:rsidRPr="0047493C">
        <w:rPr>
          <w:rFonts w:eastAsia="Times New Roman" w:cs="Times New Roman"/>
          <w:kern w:val="18"/>
          <w:sz w:val="20"/>
          <w:szCs w:val="20"/>
          <w:lang w:val="en-US" w:eastAsia="es-ES"/>
        </w:rPr>
        <w:t xml:space="preserve"> </w:t>
      </w:r>
      <w:r w:rsidR="00501855" w:rsidRPr="0047493C">
        <w:rPr>
          <w:rFonts w:eastAsia="Times New Roman" w:cs="Times New Roman"/>
          <w:kern w:val="18"/>
          <w:sz w:val="20"/>
          <w:szCs w:val="20"/>
          <w:lang w:val="en-US" w:eastAsia="es-ES"/>
        </w:rPr>
        <w:t>In this way, the object-based image analysis is suitable for the determination of canopy cover</w:t>
      </w:r>
      <w:r w:rsidR="00BB01DC" w:rsidRPr="0047493C">
        <w:rPr>
          <w:rFonts w:eastAsia="Times New Roman" w:cs="Times New Roman"/>
          <w:kern w:val="18"/>
          <w:sz w:val="20"/>
          <w:szCs w:val="20"/>
          <w:lang w:val="en-US" w:eastAsia="es-ES"/>
        </w:rPr>
        <w:t xml:space="preserve"> percentage</w:t>
      </w:r>
      <w:r w:rsidR="00501855" w:rsidRPr="0047493C">
        <w:rPr>
          <w:rFonts w:eastAsia="Times New Roman" w:cs="Times New Roman"/>
          <w:kern w:val="18"/>
          <w:sz w:val="20"/>
          <w:szCs w:val="20"/>
          <w:lang w:val="en-US" w:eastAsia="es-ES"/>
        </w:rPr>
        <w:t xml:space="preserve"> in dehesas with vegetation strata clearly differentiated by their spectral response and the inclusion of LiDAR data does not increase the accuracy of the determination.</w:t>
      </w:r>
    </w:p>
    <w:p w14:paraId="0C217400" w14:textId="77777777" w:rsidR="008305F1" w:rsidRPr="0047493C" w:rsidRDefault="008305F1" w:rsidP="008305F1">
      <w:pPr>
        <w:rPr>
          <w:rFonts w:eastAsia="Times New Roman" w:cs="Times New Roman"/>
          <w:kern w:val="18"/>
          <w:sz w:val="20"/>
          <w:szCs w:val="20"/>
          <w:lang w:val="en-US" w:eastAsia="es-ES"/>
        </w:rPr>
      </w:pPr>
      <w:r w:rsidRPr="0047493C">
        <w:rPr>
          <w:rFonts w:eastAsia="Times New Roman" w:cs="Times New Roman"/>
          <w:kern w:val="18"/>
          <w:sz w:val="20"/>
          <w:szCs w:val="20"/>
          <w:lang w:val="en-US" w:eastAsia="es-ES"/>
        </w:rPr>
        <w:t xml:space="preserve">Keywords: </w:t>
      </w:r>
      <w:r w:rsidR="00FA6210" w:rsidRPr="0047493C">
        <w:rPr>
          <w:rFonts w:eastAsia="Times New Roman" w:cs="Times New Roman"/>
          <w:kern w:val="18"/>
          <w:sz w:val="20"/>
          <w:szCs w:val="20"/>
          <w:lang w:val="en-US" w:eastAsia="es-ES"/>
        </w:rPr>
        <w:t>dehesa; canopy cover;</w:t>
      </w:r>
      <w:r w:rsidR="005004FD" w:rsidRPr="0047493C">
        <w:rPr>
          <w:rFonts w:eastAsia="Times New Roman" w:cs="Times New Roman"/>
          <w:kern w:val="18"/>
          <w:sz w:val="20"/>
          <w:szCs w:val="20"/>
          <w:lang w:val="en-US" w:eastAsia="es-ES"/>
        </w:rPr>
        <w:t xml:space="preserve"> orthophotograph</w:t>
      </w:r>
      <w:r w:rsidR="00FA6210" w:rsidRPr="0047493C">
        <w:rPr>
          <w:rFonts w:eastAsia="Times New Roman" w:cs="Times New Roman"/>
          <w:kern w:val="18"/>
          <w:sz w:val="20"/>
          <w:szCs w:val="20"/>
          <w:lang w:val="en-US" w:eastAsia="es-ES"/>
        </w:rPr>
        <w:t>;</w:t>
      </w:r>
      <w:r w:rsidR="005004FD" w:rsidRPr="0047493C">
        <w:rPr>
          <w:rFonts w:eastAsia="Times New Roman" w:cs="Times New Roman"/>
          <w:kern w:val="18"/>
          <w:sz w:val="20"/>
          <w:szCs w:val="20"/>
          <w:lang w:val="en-US" w:eastAsia="es-ES"/>
        </w:rPr>
        <w:t xml:space="preserve"> </w:t>
      </w:r>
      <w:r w:rsidR="00FA6210" w:rsidRPr="0047493C">
        <w:rPr>
          <w:rFonts w:eastAsia="Times New Roman" w:cs="Times New Roman"/>
          <w:kern w:val="18"/>
          <w:sz w:val="20"/>
          <w:szCs w:val="20"/>
          <w:lang w:val="en-US" w:eastAsia="es-ES"/>
        </w:rPr>
        <w:t>object-based image analysis; LiDAR</w:t>
      </w:r>
      <w:r w:rsidR="005D6D35" w:rsidRPr="0047493C">
        <w:rPr>
          <w:rFonts w:eastAsia="Times New Roman" w:cs="Times New Roman"/>
          <w:kern w:val="18"/>
          <w:sz w:val="20"/>
          <w:szCs w:val="20"/>
          <w:lang w:val="en-US" w:eastAsia="es-ES"/>
        </w:rPr>
        <w:t>; infrared</w:t>
      </w:r>
      <w:r w:rsidR="00FA6210" w:rsidRPr="0047493C">
        <w:rPr>
          <w:rFonts w:eastAsia="Times New Roman" w:cs="Times New Roman"/>
          <w:kern w:val="18"/>
          <w:sz w:val="20"/>
          <w:szCs w:val="20"/>
          <w:lang w:val="en-US" w:eastAsia="es-ES"/>
        </w:rPr>
        <w:t>.</w:t>
      </w:r>
    </w:p>
    <w:p w14:paraId="4602D90C" w14:textId="072809A1" w:rsidR="0034015A" w:rsidRDefault="0034015A" w:rsidP="0034015A">
      <w:pPr>
        <w:rPr>
          <w:lang w:val="en-US"/>
        </w:rPr>
      </w:pPr>
    </w:p>
    <w:p w14:paraId="2FFD1468" w14:textId="1B04A1DD" w:rsidR="0047493C" w:rsidRDefault="0047493C" w:rsidP="0034015A">
      <w:pPr>
        <w:rPr>
          <w:lang w:val="en-US"/>
        </w:rPr>
      </w:pPr>
    </w:p>
    <w:p w14:paraId="251A70C0" w14:textId="77777777" w:rsidR="00C81027" w:rsidRPr="0047493C" w:rsidRDefault="00F321C5" w:rsidP="0047493C">
      <w:pPr>
        <w:pStyle w:val="Ttulo1"/>
        <w:numPr>
          <w:ilvl w:val="0"/>
          <w:numId w:val="2"/>
        </w:numPr>
        <w:spacing w:before="240"/>
        <w:ind w:left="360" w:hanging="360"/>
        <w:rPr>
          <w:rFonts w:eastAsia="Times New Roman" w:cs="Times New Roman"/>
          <w:lang w:eastAsia="es-ES"/>
        </w:rPr>
      </w:pPr>
      <w:r w:rsidRPr="0047493C">
        <w:rPr>
          <w:rFonts w:eastAsia="Times New Roman" w:cs="Times New Roman"/>
          <w:lang w:eastAsia="es-ES"/>
        </w:rPr>
        <w:t>introducción</w:t>
      </w:r>
    </w:p>
    <w:p w14:paraId="335C7386" w14:textId="2587B6E7" w:rsidR="0093756D" w:rsidRDefault="00D41772" w:rsidP="00CA6AB2">
      <w:r w:rsidRPr="00600663">
        <w:t xml:space="preserve">Los </w:t>
      </w:r>
      <w:r w:rsidR="00A0686F">
        <w:t>s</w:t>
      </w:r>
      <w:r w:rsidRPr="00600663">
        <w:t xml:space="preserve">istemas agrosilvopastorales son reconocidos como paisajes multifuncionales </w:t>
      </w:r>
      <w:r w:rsidR="0093756D">
        <w:t xml:space="preserve">por </w:t>
      </w:r>
      <w:r w:rsidRPr="00600663">
        <w:t xml:space="preserve">su prestación de servicios ecosistémicos, beneficios ambientales y </w:t>
      </w:r>
      <w:r w:rsidRPr="00600663">
        <w:rPr>
          <w:rFonts w:cs="Times New Roman"/>
          <w:szCs w:val="24"/>
        </w:rPr>
        <w:t xml:space="preserve">relevancia socioeconómica </w:t>
      </w:r>
      <w:r w:rsidR="005A44F7" w:rsidRPr="00FF50A0">
        <w:t xml:space="preserve">(Godinho </w:t>
      </w:r>
      <w:r w:rsidR="006F4F8B" w:rsidRPr="006F4F8B">
        <w:rPr>
          <w:i/>
        </w:rPr>
        <w:t>et al</w:t>
      </w:r>
      <w:r w:rsidR="005A44F7" w:rsidRPr="00FF50A0">
        <w:t xml:space="preserve">., 2011; Pinto-Correia </w:t>
      </w:r>
      <w:r w:rsidR="006F4F8B" w:rsidRPr="006F4F8B">
        <w:rPr>
          <w:i/>
        </w:rPr>
        <w:t>et al</w:t>
      </w:r>
      <w:r w:rsidR="005A44F7" w:rsidRPr="00FF50A0">
        <w:t xml:space="preserve">., 2011; Pulido </w:t>
      </w:r>
      <w:r w:rsidR="006F4F8B" w:rsidRPr="006F4F8B">
        <w:rPr>
          <w:i/>
        </w:rPr>
        <w:t>et al</w:t>
      </w:r>
      <w:r w:rsidR="005A44F7" w:rsidRPr="00FF50A0">
        <w:t>., 2001).</w:t>
      </w:r>
      <w:r w:rsidR="00FF70B0">
        <w:t xml:space="preserve"> </w:t>
      </w:r>
      <w:r w:rsidR="0093756D">
        <w:t>Entre estos sistemas destaca l</w:t>
      </w:r>
      <w:r w:rsidR="005A44F7" w:rsidRPr="00600663">
        <w:t>a dehesa</w:t>
      </w:r>
      <w:r w:rsidR="005A44F7" w:rsidRPr="00600663">
        <w:rPr>
          <w:color w:val="1F4E79" w:themeColor="accent1" w:themeShade="80"/>
        </w:rPr>
        <w:t xml:space="preserve"> </w:t>
      </w:r>
      <w:r w:rsidR="005A44F7" w:rsidRPr="00600663">
        <w:t>ibérica</w:t>
      </w:r>
      <w:r w:rsidR="0093756D">
        <w:t xml:space="preserve"> por ser</w:t>
      </w:r>
      <w:r w:rsidR="0093756D" w:rsidRPr="00600663">
        <w:t xml:space="preserve"> </w:t>
      </w:r>
      <w:r w:rsidR="005A44F7" w:rsidRPr="00600663">
        <w:t>uno de los más extendido</w:t>
      </w:r>
      <w:r w:rsidR="00050617">
        <w:t>s</w:t>
      </w:r>
      <w:r w:rsidR="005A44F7" w:rsidRPr="00600663">
        <w:t xml:space="preserve"> en Europa </w:t>
      </w:r>
      <w:r w:rsidR="005A44F7" w:rsidRPr="00016FAD">
        <w:t>(Papanastasis, 2004),</w:t>
      </w:r>
      <w:r w:rsidR="005A44F7" w:rsidRPr="00600663">
        <w:t xml:space="preserve"> representa</w:t>
      </w:r>
      <w:r w:rsidR="0093756D">
        <w:t xml:space="preserve">ndo </w:t>
      </w:r>
      <w:r w:rsidR="005A44F7" w:rsidRPr="00600663">
        <w:t xml:space="preserve">el 23% del territorio de la </w:t>
      </w:r>
      <w:r w:rsidR="007F17FD">
        <w:t>C</w:t>
      </w:r>
      <w:r w:rsidR="005A44F7" w:rsidRPr="00600663">
        <w:t xml:space="preserve">omunidad </w:t>
      </w:r>
      <w:r w:rsidR="007F17FD">
        <w:t>A</w:t>
      </w:r>
      <w:r w:rsidR="005A44F7" w:rsidRPr="00600663">
        <w:t>utónoma de Extremadura, donde se encuentra dominada por encina (</w:t>
      </w:r>
      <w:r w:rsidR="005A44F7" w:rsidRPr="00016FAD">
        <w:rPr>
          <w:i/>
        </w:rPr>
        <w:t>Quercus ilex</w:t>
      </w:r>
      <w:r w:rsidR="005A44F7" w:rsidRPr="00600663">
        <w:t>) y alcornoque (</w:t>
      </w:r>
      <w:r w:rsidR="005A44F7" w:rsidRPr="00016FAD">
        <w:rPr>
          <w:i/>
        </w:rPr>
        <w:t>Quercus suber</w:t>
      </w:r>
      <w:r w:rsidR="005A44F7" w:rsidRPr="00600663">
        <w:t xml:space="preserve">) </w:t>
      </w:r>
      <w:r w:rsidR="005A44F7" w:rsidRPr="00016FAD">
        <w:t>(MAGRAMA, 2013)</w:t>
      </w:r>
      <w:r w:rsidR="005A44F7">
        <w:t>.</w:t>
      </w:r>
      <w:r w:rsidR="00FF70B0">
        <w:t xml:space="preserve"> </w:t>
      </w:r>
    </w:p>
    <w:p w14:paraId="62F6E974" w14:textId="7618AC04" w:rsidR="00CA6AB2" w:rsidRPr="00600663" w:rsidRDefault="00F05688" w:rsidP="00CA6AB2">
      <w:r w:rsidRPr="00600663">
        <w:lastRenderedPageBreak/>
        <w:t>La presencia de</w:t>
      </w:r>
      <w:r>
        <w:t>l</w:t>
      </w:r>
      <w:r w:rsidRPr="00600663">
        <w:t xml:space="preserve"> arbolado en </w:t>
      </w:r>
      <w:r w:rsidR="0093756D">
        <w:t>los citados</w:t>
      </w:r>
      <w:r w:rsidR="0093756D" w:rsidRPr="00600663">
        <w:t xml:space="preserve"> </w:t>
      </w:r>
      <w:r w:rsidRPr="00600663">
        <w:t xml:space="preserve">sistemas facilita las condiciones para el desarrollo del pasto, mejorándolo cuantitativa y cualitativamente </w:t>
      </w:r>
      <w:r w:rsidRPr="00016FAD">
        <w:t xml:space="preserve">(San Miguel, 2001; </w:t>
      </w:r>
      <w:r w:rsidRPr="00016FAD">
        <w:fldChar w:fldCharType="begin" w:fldLock="1"/>
      </w:r>
      <w:r w:rsidR="00727F22">
        <w:instrText>ADDIN CSL_CITATION { "citationItems" : [ { "id" : "ITEM-1", "itemData" : { "author" : [ { "dropping-particle" : "", "family" : "Moreno", "given" : "G", "non-dropping-particle" : "", "parse-names" : false, "suffix" : "" } ], "container-title" : "Agriculture, Ecosystems &amp; Environment", "id" : "ITEM-1", "issued" : { "date-parts" : [ [ "2008" ] ] }, "page" : "239-244", "title" : "Response of understorey forage to multiple tree effects in Iberian dehesas", "type" : "article-journal", "volume" : "123" }, "uris" : [ "http://www.mendeley.com/documents/?uuid=fcc1e2e6-a7b5-47f3-8760-2f8aeebb6119" ] } ], "mendeley" : { "formattedCitation" : "(Moreno, 2008)", "manualFormatting" : "Moreno, 2008", "plainTextFormattedCitation" : "(Moreno, 2008)", "previouslyFormattedCitation" : "(Moreno, 2008)" }, "properties" : {  }, "schema" : "https://github.com/citation-style-language/schema/raw/master/csl-citation.json" }</w:instrText>
      </w:r>
      <w:r w:rsidRPr="00016FAD">
        <w:fldChar w:fldCharType="separate"/>
      </w:r>
      <w:r w:rsidRPr="00016FAD">
        <w:rPr>
          <w:noProof/>
        </w:rPr>
        <w:t>Moreno, 2008</w:t>
      </w:r>
      <w:r w:rsidRPr="00016FAD">
        <w:fldChar w:fldCharType="end"/>
      </w:r>
      <w:r w:rsidRPr="00016FAD">
        <w:t xml:space="preserve">; </w:t>
      </w:r>
      <w:r w:rsidRPr="00016FAD">
        <w:fldChar w:fldCharType="begin" w:fldLock="1"/>
      </w:r>
      <w:r w:rsidR="00727F22">
        <w:instrText>ADDIN CSL_CITATION { "citationItems" : [ { "id" : "ITEM-1", "itemData" : { "author" : [ { "dropping-particle" : "", "family" : "Gea-Izquierdo", "given" : "G", "non-dropping-particle" : "", "parse-names" : false, "suffix" : "" }, { "dropping-particle" : "", "family" : "Montero", "given" : "G", "non-dropping-particle" : "", "parse-names" : false, "suffix" : "" }, { "dropping-particle" : "", "family" : "Ca\u00f1ellas", "given" : "I", "non-dropping-particle" : "", "parse-names" : false, "suffix" : "" } ], "container-title" : "Agroforestry Systems", "id" : "ITEM-1", "issued" : { "date-parts" : [ [ "2009" ] ] }, "page" : "375\u2013387", "title" : "Changes in limiting resources determine spatio- temporal variability in tree\u2013grass interactions", "type" : "article-journal", "volume" : "76" }, "uris" : [ "http://www.mendeley.com/documents/?uuid=79e74ed9-67bc-4c54-8161-c3a64ec4a14f" ] } ], "mendeley" : { "formattedCitation" : "(Gea-Izquierdo, Montero, &amp; Ca\u00f1ellas, 2009)", "manualFormatting" : "Gea-Izquierdo et al., 2009", "plainTextFormattedCitation" : "(Gea-Izquierdo, Montero, &amp; Ca\u00f1ellas, 2009)", "previouslyFormattedCitation" : "(Gea-Izquierdo, Montero, &amp; Ca\u00f1ellas, 2009)" }, "properties" : {  }, "schema" : "https://github.com/citation-style-language/schema/raw/master/csl-citation.json" }</w:instrText>
      </w:r>
      <w:r w:rsidRPr="00016FAD">
        <w:fldChar w:fldCharType="separate"/>
      </w:r>
      <w:r w:rsidRPr="00016FAD">
        <w:rPr>
          <w:noProof/>
        </w:rPr>
        <w:t xml:space="preserve">Gea-Izquierdo </w:t>
      </w:r>
      <w:r w:rsidR="006F4F8B" w:rsidRPr="006F4F8B">
        <w:rPr>
          <w:i/>
          <w:noProof/>
        </w:rPr>
        <w:t>et al</w:t>
      </w:r>
      <w:r w:rsidRPr="00016FAD">
        <w:rPr>
          <w:noProof/>
        </w:rPr>
        <w:t>., 2009</w:t>
      </w:r>
      <w:r w:rsidRPr="00016FAD">
        <w:fldChar w:fldCharType="end"/>
      </w:r>
      <w:r w:rsidRPr="00016FAD">
        <w:t xml:space="preserve">; </w:t>
      </w:r>
      <w:r w:rsidRPr="00016FAD">
        <w:fldChar w:fldCharType="begin" w:fldLock="1"/>
      </w:r>
      <w:r w:rsidR="00727F22">
        <w:instrText>ADDIN CSL_CITATION { "citationItems" : [ { "id" : "ITEM-1", "itemData" : { "author" : [ { "dropping-particle" : "", "family" : "L\u00f3pez-Carrasco", "given" : "C.", "non-dropping-particle" : "", "parse-names" : false, "suffix" : "" }, { "dropping-particle" : "", "family" : "G\u00f3mez", "given" : "S.R.", "non-dropping-particle" : "", "parse-names" : false, "suffix" : "" } ], "container-title" : "La Multifuncionalidad de los pastos: producci\u00f3n ganadera sostenible y gesti\u00f3n de los ecosistemas", "id" : "ITEM-1", "issued" : { "date-parts" : [ [ "2009" ] ] }, "page" : "565-571", "publisher" : "Sociedad Espa\u00f1ola para el Estudio de los Pastos.", "title" : "Efecto de la disposici\u00f3n espacial del arbolado sobre los pastos herb\u00e1ceos en una dehesa toledana: producci\u00f3n de materia seca.", "type" : "chapter" }, "uris" : [ "http://www.mendeley.com/documents/?uuid=b79af657-a2f1-4d42-812b-145097524077" ] } ], "mendeley" : { "formattedCitation" : "(L\u00f3pez-Carrasco &amp; G\u00f3mez, 2009)", "manualFormatting" : "L\u00f3pez-Carrasco y G\u00f3mez, 2009)", "plainTextFormattedCitation" : "(L\u00f3pez-Carrasco &amp; G\u00f3mez, 2009)", "previouslyFormattedCitation" : "(L\u00f3pez-Carrasco &amp; G\u00f3mez, 2009)" }, "properties" : {  }, "schema" : "https://github.com/citation-style-language/schema/raw/master/csl-citation.json" }</w:instrText>
      </w:r>
      <w:r w:rsidRPr="00016FAD">
        <w:fldChar w:fldCharType="separate"/>
      </w:r>
      <w:r w:rsidRPr="00016FAD">
        <w:rPr>
          <w:noProof/>
        </w:rPr>
        <w:t xml:space="preserve">López-Carrasco y </w:t>
      </w:r>
      <w:r w:rsidR="008B304F" w:rsidRPr="00A0686F">
        <w:rPr>
          <w:noProof/>
        </w:rPr>
        <w:t>Roig</w:t>
      </w:r>
      <w:r w:rsidR="008B304F" w:rsidRPr="00016FAD" w:rsidDel="008B304F">
        <w:rPr>
          <w:noProof/>
        </w:rPr>
        <w:t xml:space="preserve"> </w:t>
      </w:r>
      <w:r w:rsidRPr="00016FAD">
        <w:rPr>
          <w:noProof/>
        </w:rPr>
        <w:t>, 2009)</w:t>
      </w:r>
      <w:r w:rsidRPr="00016FAD">
        <w:fldChar w:fldCharType="end"/>
      </w:r>
      <w:r w:rsidR="00462835">
        <w:t>,</w:t>
      </w:r>
      <w:r w:rsidRPr="00016FAD">
        <w:t xml:space="preserve"> </w:t>
      </w:r>
      <w:r w:rsidRPr="00600663">
        <w:t xml:space="preserve">modificando su composición y fenología </w:t>
      </w:r>
      <w:r w:rsidRPr="00FF48F6">
        <w:fldChar w:fldCharType="begin" w:fldLock="1"/>
      </w:r>
      <w:r w:rsidR="00727F22">
        <w:instrText>ADDIN CSL_CITATION { "citationItems" : [ { "id" : "ITEM-1", "itemData" : { "ISBN" : "9781402042850", "author" : [ { "dropping-particle" : "", "family" : "Moreno", "given" : "G.", "non-dropping-particle" : "", "parse-names" : false, "suffix" : "" }, { "dropping-particle" : "", "family" : "Bartolome", "given" : "J.W.", "non-dropping-particle" : "", "parse-names" : false, "suffix" : "" }, { "dropping-particle" : "", "family" : "Gea-Izquierdo", "given" : "G.", "non-dropping-particle" : "", "parse-names" : false, "suffix" : "" }, { "dropping-particle" : "", "family" : "Ca\u00f1ellas", "given" : "I.", "non-dropping-particle" : "", "parse-names" : false, "suffix" : "" } ], "chapter-number" : "6", "container-title" : "Mediterranean Oak Woodland Working Landscapes. Dehesas of Spain and Ranchlands of California.", "editor" : [ { "dropping-particle" : "", "family" : "Campos", "given" : "P.", "non-dropping-particle" : "", "parse-names" : false, "suffix" : "" }, { "dropping-particle" : "", "family" : "Huntsinger", "given" : "L", "non-dropping-particle" : "", "parse-names" : false, "suffix" : "" }, { "dropping-particle" : "", "family" : "Oviedo", "given" : "J.L.", "non-dropping-particle" : "", "parse-names" : false, "suffix" : "" }, { "dropping-particle" : "", "family" : "Starrs", "given" : "P.F.", "non-dropping-particle" : "", "parse-names" : false, "suffix" : "" }, { "dropping-particle" : "", "family" : "Diaz", "given" : "M.", "non-dropping-particle" : "", "parse-names" : false, "suffix" : "" }, { "dropping-particle" : "", "family" : "Standiford", "given" : "R.B.", "non-dropping-particle" : "", "parse-names" : false, "suffix" : "" }, { "dropping-particle" : "", "family" : "G.", "given" : "Montero", "non-dropping-particle" : "", "parse-names" : false, "suffix" : "" } ], "id" : "ITEM-1", "issued" : { "date-parts" : [ [ "2013" ] ] }, "page" : "145-181", "publisher" : "Springer", "title" : "Overstory-Understory Relationships", "type" : "chapter", "volume" : "16" }, "uris" : [ "http://www.mendeley.com/documents/?uuid=1f260f6f-a86e-44dc-9e73-36d45408ab78" ] } ], "mendeley" : { "formattedCitation" : "(Moreno, Bartolome, Gea-Izquierdo, &amp; Ca\u00f1ellas, 2013)", "plainTextFormattedCitation" : "(Moreno, Bartolome, Gea-Izquierdo, &amp; Ca\u00f1ellas, 2013)", "previouslyFormattedCitation" : "(Moreno, Bartolome, Gea-Izquierdo, &amp; Ca\u00f1ellas, 2013)" }, "properties" : {  }, "schema" : "https://github.com/citation-style-language/schema/raw/master/csl-citation.json" }</w:instrText>
      </w:r>
      <w:r w:rsidRPr="00FF48F6">
        <w:fldChar w:fldCharType="separate"/>
      </w:r>
      <w:r w:rsidR="00727F22" w:rsidRPr="00727F22">
        <w:rPr>
          <w:noProof/>
        </w:rPr>
        <w:t>(Moreno</w:t>
      </w:r>
      <w:r w:rsidR="00A3390F">
        <w:rPr>
          <w:noProof/>
        </w:rPr>
        <w:t xml:space="preserve"> </w:t>
      </w:r>
      <w:r w:rsidR="00A3390F" w:rsidRPr="0047493C">
        <w:rPr>
          <w:i/>
          <w:noProof/>
        </w:rPr>
        <w:t>et al</w:t>
      </w:r>
      <w:r w:rsidR="00A3390F">
        <w:rPr>
          <w:noProof/>
        </w:rPr>
        <w:t>.</w:t>
      </w:r>
      <w:r w:rsidR="00727F22" w:rsidRPr="00727F22">
        <w:rPr>
          <w:noProof/>
        </w:rPr>
        <w:t>, 2013)</w:t>
      </w:r>
      <w:r w:rsidRPr="00FF48F6">
        <w:fldChar w:fldCharType="end"/>
      </w:r>
      <w:r w:rsidR="0093756D">
        <w:t>;</w:t>
      </w:r>
      <w:r w:rsidRPr="00600663">
        <w:t xml:space="preserve"> </w:t>
      </w:r>
      <w:r w:rsidR="0093756D">
        <w:t>a</w:t>
      </w:r>
      <w:r w:rsidR="0093756D" w:rsidRPr="00600663">
        <w:t>demás</w:t>
      </w:r>
      <w:r w:rsidRPr="00600663">
        <w:t>, ayuda a mitigar los efectos del cambio climático, fijando y almacenando carbono no sólo en la biomasa sino también en el suelo de forma continua y creciente</w:t>
      </w:r>
      <w:r w:rsidRPr="00FF48F6">
        <w:t xml:space="preserve"> (Kumar y Nair, 2011; Howlett </w:t>
      </w:r>
      <w:r w:rsidR="006F4F8B" w:rsidRPr="006F4F8B">
        <w:rPr>
          <w:i/>
        </w:rPr>
        <w:t>et al</w:t>
      </w:r>
      <w:r w:rsidRPr="00FF48F6">
        <w:t xml:space="preserve">., 2011; Ruiz-Peinado </w:t>
      </w:r>
      <w:r w:rsidR="006F4F8B" w:rsidRPr="006F4F8B">
        <w:rPr>
          <w:i/>
        </w:rPr>
        <w:t>et al</w:t>
      </w:r>
      <w:r w:rsidRPr="00FF48F6">
        <w:t xml:space="preserve">., 2013). </w:t>
      </w:r>
      <w:r w:rsidR="00CA6AB2" w:rsidRPr="00600663">
        <w:t xml:space="preserve">Dada la importancia del arbolado en el funcionamiento y equilibrio de </w:t>
      </w:r>
      <w:r w:rsidR="0093756D">
        <w:t>estos</w:t>
      </w:r>
      <w:r w:rsidR="0093756D" w:rsidRPr="00600663">
        <w:t xml:space="preserve"> </w:t>
      </w:r>
      <w:r w:rsidR="00CA6AB2" w:rsidRPr="00600663">
        <w:t xml:space="preserve">sistemas, la determinación </w:t>
      </w:r>
      <w:r w:rsidR="00CA6AB2">
        <w:t>exacta</w:t>
      </w:r>
      <w:r w:rsidR="00CA6AB2" w:rsidRPr="00600663">
        <w:t xml:space="preserve"> de la </w:t>
      </w:r>
      <w:r w:rsidR="0093756D">
        <w:t xml:space="preserve">fracción de </w:t>
      </w:r>
      <w:r w:rsidR="00CA6AB2" w:rsidRPr="00600663">
        <w:t>cabida cubierta</w:t>
      </w:r>
      <w:r w:rsidR="008606DE">
        <w:t xml:space="preserve"> (FCC)</w:t>
      </w:r>
      <w:r w:rsidR="00CA6AB2" w:rsidRPr="00600663">
        <w:t xml:space="preserve"> </w:t>
      </w:r>
      <w:r w:rsidR="0093756D">
        <w:t>resulta</w:t>
      </w:r>
      <w:r w:rsidR="0093756D" w:rsidRPr="00600663">
        <w:t xml:space="preserve"> </w:t>
      </w:r>
      <w:r w:rsidR="00CA6AB2">
        <w:t>crucial</w:t>
      </w:r>
      <w:r w:rsidR="00CA6AB2" w:rsidRPr="00600663">
        <w:t xml:space="preserve"> para los investigadores ambientales, los administradores de la tierra, las industrias agroforestales y los responsables de la formulación de políticas</w:t>
      </w:r>
      <w:r w:rsidR="00CA6AB2" w:rsidRPr="009B026B">
        <w:rPr>
          <w:color w:val="FF0000"/>
          <w:sz w:val="18"/>
        </w:rPr>
        <w:t xml:space="preserve"> </w:t>
      </w:r>
      <w:r w:rsidR="00CA6AB2" w:rsidRPr="00F666A7">
        <w:fldChar w:fldCharType="begin" w:fldLock="1"/>
      </w:r>
      <w:r w:rsidR="00727F22">
        <w:instrText>ADDIN CSL_CITATION { "citationItems" : [ { "id" : "ITEM-1", "itemData" : { "DOI" : "10.3390/rs9101084", "ISSN" : "2072-4292", "abstract" : "In recent years, airborne Light Detection and Ranging (LiDAR) that provided three-dimensional forest information has been widely applied in forest inventory and has shown great potential in automatic individual tree crown delineation (ITCD). Usually, ITCD algorithms include treetop detection and crown boundary delineation procedures. In this study, we proposed a novel method called region-based hierarchical cross-section analysis (RHCSA), which combined the two procedures together based on a canopy height model (CHM) derived from airborne LiDAR data for ITCD. This method considers the CHM as a three-dimensional topological surface, simulates stereoscopic scanning from top to bottom using an iterative process, and utilizes the individual crown and vertical structure of crowns to progressively detect individual treetops and delineate crown boundaries. The proposed method was tested in natural forest stands with high canopy densities in Liangshui National Nature Reserve and Maoershan Forest Farm, Heilongjiang Province, China. Its performance was evaluated by an accuracy procedure that considered both the relative position of treetops and overlapped area of crowns. The average overall accuracy achieved was 85.12% for coniferous plots, 83.86% for deciduous plots and 86.44% for coniferous and broad-leaved mixed forest plots. The results revealed that the RHCSA method can detect and delineate individual tree crowns with little influence from forest types and crown size. It could provide technical support for individual tree crown delineation in coniferous, deciduous and mixed forests with high canopy densities.", "author" : [ { "dropping-particle" : "", "family" : "Zhao", "given" : "Yinghui", "non-dropping-particle" : "", "parse-names" : false, "suffix" : "" }, { "dropping-particle" : "", "family" : "Hao", "given" : "Yuanshuo", "non-dropping-particle" : "", "parse-names" : false, "suffix" : "" }, { "dropping-particle" : "", "family" : "Zhen", "given" : "Zhen", "non-dropping-particle" : "", "parse-names" : false, "suffix" : "" }, { "dropping-particle" : "", "family" : "Quan", "given" : "Ying", "non-dropping-particle" : "", "parse-names" : false, "suffix" : "" } ], "container-title" : "Remote Sensing", "id" : "ITEM-1", "issue" : "11", "issued" : { "date-parts" : [ [ "2017" ] ] }, "page" : "1084", "title" : "A Region-Based Hierarchical Cross-Section Analysis for Individual Tree Crown Delineation Using ALS Data", "type" : "article-journal", "volume" : "9" }, "uris" : [ "http://www.mendeley.com/documents/?uuid=3a2ee36f-5ea2-4342-9bd3-5b3e6e88d603" ] } ], "mendeley" : { "formattedCitation" : "(Zhao, Hao, Zhen, &amp; Quan, 2017)", "manualFormatting" : "(Zhao et al., 2017)", "plainTextFormattedCitation" : "(Zhao, Hao, Zhen, &amp; Quan, 2017)", "previouslyFormattedCitation" : "(Zhao, Hao, Zhen, &amp; Quan, 2017)" }, "properties" : {  }, "schema" : "https://github.com/citation-style-language/schema/raw/master/csl-citation.json" }</w:instrText>
      </w:r>
      <w:r w:rsidR="00CA6AB2" w:rsidRPr="00F666A7">
        <w:fldChar w:fldCharType="separate"/>
      </w:r>
      <w:r w:rsidR="00CA6AB2" w:rsidRPr="00F666A7">
        <w:rPr>
          <w:noProof/>
        </w:rPr>
        <w:t xml:space="preserve">(Zhao </w:t>
      </w:r>
      <w:r w:rsidR="006F4F8B" w:rsidRPr="006F4F8B">
        <w:rPr>
          <w:i/>
          <w:noProof/>
        </w:rPr>
        <w:t>et al</w:t>
      </w:r>
      <w:r w:rsidR="00CA6AB2" w:rsidRPr="00F666A7">
        <w:rPr>
          <w:noProof/>
        </w:rPr>
        <w:t>.</w:t>
      </w:r>
      <w:r w:rsidR="00CA6AB2">
        <w:rPr>
          <w:noProof/>
        </w:rPr>
        <w:t>,</w:t>
      </w:r>
      <w:r w:rsidR="00CA6AB2" w:rsidRPr="00F666A7">
        <w:rPr>
          <w:noProof/>
        </w:rPr>
        <w:t xml:space="preserve"> 2017)</w:t>
      </w:r>
      <w:r w:rsidR="00CA6AB2" w:rsidRPr="00F666A7">
        <w:fldChar w:fldCharType="end"/>
      </w:r>
      <w:r w:rsidR="00CA6AB2">
        <w:t>.</w:t>
      </w:r>
    </w:p>
    <w:p w14:paraId="0D3CA3CE" w14:textId="7DB8008D" w:rsidR="00727F22" w:rsidRPr="00600663" w:rsidRDefault="00CA6AB2" w:rsidP="00727F22">
      <w:r w:rsidRPr="00600663">
        <w:t xml:space="preserve">La teledetección es una de las herramientas principales para el análisis a </w:t>
      </w:r>
      <w:r w:rsidRPr="009B026B">
        <w:t>gran escala</w:t>
      </w:r>
      <w:r w:rsidRPr="00600663">
        <w:t xml:space="preserve"> de los sistemas forestales</w:t>
      </w:r>
      <w:r>
        <w:t xml:space="preserve"> </w:t>
      </w:r>
      <w:r>
        <w:fldChar w:fldCharType="begin" w:fldLock="1"/>
      </w:r>
      <w:r w:rsidR="00727F22">
        <w:instrText>ADDIN CSL_CITATION { "citationItems" : [ { "id" : "ITEM-1", "itemData" : { "DOI" : "10.3390/rs5094163", "ISBN" : "10.3390/rs5094163", "ISSN" : "20724292", "abstract" : "Light detection and ranging (lidar) data is increasingly being used for ecosystem monitoring across geographic scales. This work concentrates on delineating individual trees in topographically-complex, mixed conifer forest across the California\u2019s Sierra Nevada. We delineated individual trees using vector data and a 3D lidar point cloud segmentation algorithm, and using raster data with an object-based image analysis (OBIA) of a canopy height model (CHM). The two approaches are compared to each other and to ground reference data. We used high density (9 pulses/m2), discreet lidar data and WorldView-2 imagery to delineate individual trees, and to classify them by species or species types. We also identified a new method to correct artifacts in a high-resolution CHM. Our main focus was to determine the difference between the two types of approaches and to identify the one that produces more realistic results. We compared the delineations via tree detection, tree heights, and the shape of the generated polygons. The tree height agreement was high between the two approaches and the ground data (r2: 0.93\u20130.96). Tree detection rates increased for more dominant trees (8\u2013100 percent). The two approaches delineated tree boundaries that differed in shape: the lidar-approach produced fewer, more complex, and larger polygons that more closely resembled real forest structure.", "author" : [ { "dropping-particle" : "", "family" : "Jakubowski", "given" : "Marek K.", "non-dropping-particle" : "", "parse-names" : false, "suffix" : "" }, { "dropping-particle" : "", "family" : "Li", "given" : "Wenkai", "non-dropping-particle" : "", "parse-names" : false, "suffix" : "" }, { "dropping-particle" : "", "family" : "Guo", "given" : "Qinghua", "non-dropping-particle" : "", "parse-names" : false, "suffix" : "" }, { "dropping-particle" : "", "family" : "Kelly", "given" : "Maggi", "non-dropping-particle" : "", "parse-names" : false, "suffix" : "" } ], "container-title" : "Remote Sensing", "id" : "ITEM-1", "issue" : "9", "issued" : { "date-parts" : [ [ "2013" ] ] }, "page" : "4163-4186", "title" : "Delineating individual trees from lidar data: A comparison of vector- and raster-based segmentation approaches", "type" : "article-journal", "volume" : "5" }, "uris" : [ "http://www.mendeley.com/documents/?uuid=8947fcab-6cfc-46ea-9866-3ceea68abfef" ] } ], "mendeley" : { "formattedCitation" : "(Jakubowski, Li, Guo, &amp; Kelly, 2013)", "manualFormatting" : "(Jakubowski et al., 2013)", "plainTextFormattedCitation" : "(Jakubowski, Li, Guo, &amp; Kelly, 2013)", "previouslyFormattedCitation" : "(Jakubowski, Li, Guo, &amp; Kelly, 2013)" }, "properties" : {  }, "schema" : "https://github.com/citation-style-language/schema/raw/master/csl-citation.json" }</w:instrText>
      </w:r>
      <w:r>
        <w:fldChar w:fldCharType="separate"/>
      </w:r>
      <w:r w:rsidRPr="00F666A7">
        <w:rPr>
          <w:noProof/>
        </w:rPr>
        <w:t xml:space="preserve">(Jakubowski </w:t>
      </w:r>
      <w:r w:rsidR="006F4F8B" w:rsidRPr="006F4F8B">
        <w:rPr>
          <w:i/>
          <w:noProof/>
        </w:rPr>
        <w:t>et al</w:t>
      </w:r>
      <w:r w:rsidRPr="00F666A7">
        <w:rPr>
          <w:noProof/>
        </w:rPr>
        <w:t>.</w:t>
      </w:r>
      <w:r>
        <w:rPr>
          <w:noProof/>
        </w:rPr>
        <w:t>,</w:t>
      </w:r>
      <w:r w:rsidRPr="00F666A7">
        <w:rPr>
          <w:noProof/>
        </w:rPr>
        <w:t xml:space="preserve"> 2013)</w:t>
      </w:r>
      <w:r>
        <w:fldChar w:fldCharType="end"/>
      </w:r>
      <w:r w:rsidRPr="00600663">
        <w:t>,</w:t>
      </w:r>
      <w:r w:rsidRPr="009B026B">
        <w:rPr>
          <w:color w:val="FF0000"/>
          <w:sz w:val="18"/>
        </w:rPr>
        <w:t xml:space="preserve"> </w:t>
      </w:r>
      <w:r w:rsidRPr="00600663">
        <w:t>siendo</w:t>
      </w:r>
      <w:r w:rsidRPr="00600663">
        <w:rPr>
          <w:sz w:val="18"/>
        </w:rPr>
        <w:t xml:space="preserve"> </w:t>
      </w:r>
      <w:r w:rsidRPr="00600663">
        <w:t xml:space="preserve">las mediciones de </w:t>
      </w:r>
      <w:r>
        <w:t xml:space="preserve">cobertura </w:t>
      </w:r>
      <w:r w:rsidR="0093756D">
        <w:t>del dosel,</w:t>
      </w:r>
      <w:r w:rsidR="0093756D" w:rsidRPr="00600663">
        <w:t xml:space="preserve"> </w:t>
      </w:r>
      <w:r w:rsidRPr="00600663">
        <w:t>derivadas de imágenes obtenidas por teledetección</w:t>
      </w:r>
      <w:r w:rsidR="0093756D">
        <w:t>,</w:t>
      </w:r>
      <w:r w:rsidRPr="00600663">
        <w:t xml:space="preserve"> ampliamente utilizadas para la evaluación de la densidad arbórea </w:t>
      </w:r>
      <w:r w:rsidRPr="00F666A7">
        <w:t>(Nowak y Greenfield, 2012).</w:t>
      </w:r>
      <w:r w:rsidR="00FF70B0">
        <w:rPr>
          <w:rFonts w:cs="Times New Roman"/>
          <w:szCs w:val="24"/>
        </w:rPr>
        <w:t xml:space="preserve"> </w:t>
      </w:r>
      <w:r w:rsidR="000F4BF0" w:rsidRPr="00600663">
        <w:rPr>
          <w:rFonts w:cs="Times New Roman"/>
          <w:szCs w:val="24"/>
        </w:rPr>
        <w:t xml:space="preserve">Sin embargo, es frecuente una subestimación de la </w:t>
      </w:r>
      <w:r w:rsidR="0093756D">
        <w:rPr>
          <w:rFonts w:cs="Times New Roman"/>
          <w:szCs w:val="24"/>
        </w:rPr>
        <w:t>FCC</w:t>
      </w:r>
      <w:r w:rsidR="000F4BF0" w:rsidRPr="00600663">
        <w:t xml:space="preserve"> en los sistemas agrosilvopastorales</w:t>
      </w:r>
      <w:r w:rsidR="000F4BF0" w:rsidRPr="00600663">
        <w:rPr>
          <w:rFonts w:cs="Times New Roman"/>
          <w:szCs w:val="24"/>
        </w:rPr>
        <w:t xml:space="preserve">, donde las copas abiertas conviven con pastos, arbustos y áreas de suelo desnudo, creando un ambiente espectral complejo </w:t>
      </w:r>
      <w:r w:rsidR="000F4BF0">
        <w:rPr>
          <w:rFonts w:cs="Times New Roman"/>
          <w:szCs w:val="24"/>
        </w:rPr>
        <w:fldChar w:fldCharType="begin" w:fldLock="1"/>
      </w:r>
      <w:r w:rsidR="00727F22">
        <w:rPr>
          <w:rFonts w:cs="Times New Roman"/>
          <w:szCs w:val="24"/>
        </w:rPr>
        <w:instrText>ADDIN CSL_CITATION { "citationItems" : [ { "id" : "ITEM-1", "itemData" : { "DOI" : "10.1080/01431161.2017.1399480", "ISSN" : "13665901", "author" : [ { "dropping-particle" : "", "family" : "Godinho", "given" : "S\u00e9rgio", "non-dropping-particle" : "", "parse-names" : false, "suffix" : "" }, { "dropping-particle" : "", "family" : "Guiomar", "given" : "Nuno", "non-dropping-particle" : "", "parse-names" : false, "suffix" : "" }, { "dropping-particle" : "", "family" : "Gil", "given" : "Artur", "non-dropping-particle" : "", "parse-names" : false, "suffix" : "" } ], "container-title" : "International Journal of Remote Sensing", "id" : "ITEM-1", "issue" : "00", "issued" : { "date-parts" : [ [ "2017" ] ] }, "page" : "1-23", "publisher" : "Taylor &amp; Francis", "title" : "Estimating tree canopy cover percentage in a mediterranean silvopastoral systems using Sentinel-2A imagery and the stochastic gradient boosting algorithm", "type" : "article-journal", "volume" : "00" }, "uris" : [ "http://www.mendeley.com/documents/?uuid=254a41b7-6343-40a3-a6f4-4c4f1c8deb7b" ] } ], "mendeley" : { "formattedCitation" : "(Godinho, Guiomar, &amp; Gil, 2017)", "manualFormatting" : "(Godinho et al., 2017)", "plainTextFormattedCitation" : "(Godinho, Guiomar, &amp; Gil, 2017)", "previouslyFormattedCitation" : "(Godinho, Guiomar, &amp; Gil, 2017)" }, "properties" : {  }, "schema" : "https://github.com/citation-style-language/schema/raw/master/csl-citation.json" }</w:instrText>
      </w:r>
      <w:r w:rsidR="000F4BF0">
        <w:rPr>
          <w:rFonts w:cs="Times New Roman"/>
          <w:szCs w:val="24"/>
        </w:rPr>
        <w:fldChar w:fldCharType="separate"/>
      </w:r>
      <w:r w:rsidR="000F4BF0" w:rsidRPr="004E0B0D">
        <w:rPr>
          <w:rFonts w:cs="Times New Roman"/>
          <w:noProof/>
          <w:szCs w:val="24"/>
        </w:rPr>
        <w:t>(Godinho</w:t>
      </w:r>
      <w:r w:rsidR="000F4BF0">
        <w:rPr>
          <w:rFonts w:cs="Times New Roman"/>
          <w:noProof/>
          <w:szCs w:val="24"/>
        </w:rPr>
        <w:t xml:space="preserve"> </w:t>
      </w:r>
      <w:r w:rsidR="006F4F8B" w:rsidRPr="006F4F8B">
        <w:rPr>
          <w:rFonts w:cs="Times New Roman"/>
          <w:i/>
          <w:noProof/>
          <w:szCs w:val="24"/>
        </w:rPr>
        <w:t>et al</w:t>
      </w:r>
      <w:r w:rsidR="000F4BF0">
        <w:rPr>
          <w:rFonts w:cs="Times New Roman"/>
          <w:noProof/>
          <w:szCs w:val="24"/>
        </w:rPr>
        <w:t>.,</w:t>
      </w:r>
      <w:r w:rsidR="000F4BF0" w:rsidRPr="004E0B0D">
        <w:rPr>
          <w:rFonts w:cs="Times New Roman"/>
          <w:noProof/>
          <w:szCs w:val="24"/>
        </w:rPr>
        <w:t xml:space="preserve"> 2017)</w:t>
      </w:r>
      <w:r w:rsidR="000F4BF0">
        <w:rPr>
          <w:rFonts w:cs="Times New Roman"/>
          <w:szCs w:val="24"/>
        </w:rPr>
        <w:fldChar w:fldCharType="end"/>
      </w:r>
      <w:r w:rsidR="0093756D">
        <w:rPr>
          <w:rFonts w:cs="Times New Roman"/>
          <w:szCs w:val="24"/>
        </w:rPr>
        <w:t>, viéndose desafiada</w:t>
      </w:r>
      <w:r w:rsidR="000F4BF0">
        <w:rPr>
          <w:rFonts w:cs="Times New Roman"/>
          <w:szCs w:val="24"/>
        </w:rPr>
        <w:t xml:space="preserve"> </w:t>
      </w:r>
      <w:r w:rsidR="000F4BF0" w:rsidRPr="00600663">
        <w:t>la delimitación del d</w:t>
      </w:r>
      <w:r w:rsidR="000F4BF0">
        <w:t>o</w:t>
      </w:r>
      <w:r w:rsidR="000F4BF0" w:rsidRPr="00600663">
        <w:t>sel basada únicamente en información espectral, al presentar árboles, arbustos y pa</w:t>
      </w:r>
      <w:r w:rsidR="000F4BF0">
        <w:t xml:space="preserve">stizales una respuesta similar </w:t>
      </w:r>
      <w:r w:rsidR="000F4BF0">
        <w:fldChar w:fldCharType="begin" w:fldLock="1"/>
      </w:r>
      <w:r w:rsidR="00727F22">
        <w:instrText>ADDIN CSL_CITATION { "citationItems" : [ { "id" : "ITEM-1", "itemData" : { "DOI" : "10.3390/rs5020558", "ISBN" : "2072-4292", "ISSN" : "20724292", "abstract" : "Discrete airborne lidar is increasingly used to analyze forest structure. Technological improvements in lidar sensors have led to the acquisition of increasingly high pulse densities, possibly reflecting the assumption that higher densities will yield better results. In this study, we systematically investigated the relationship between pulse density and the ability to predict several commonly used forest measures and metrics at the plot scale. The accuracy of predicted metrics was largely invariant to changes in pulse density at moderate to high densities. In particular, correlations between metrics such as tree height, diameter at breast height, shrub height and total basal area were relatively unaffected until pulse densities dropped below 1 pulse/ m2. Metrics pertaining to coverage, such as canopy cover, tree density and shrub cover were more sensitive to changes in pulse density, although in some cases high prediction accuracy was still possible at lower den- sities. Our findings did not depend on the type of predictive algorithm used, although we found that support vector regression (SVR) and Gaussian processes (GP) consistently outperformed multiple regression across a range of pulse densities. Further, we found that SVR yielded higher accuracies at low densities (b0.3 pl/m2), while GP was better at high densities (&gt;1 pl/m2). Our results suggest that low-density lidar data may be ca- pable of estimating typical forest structure metrics reliably in some situations. These results provide practical guidance to forest ecologists and land managers who are faced with tradeoff in price, quality and coverage, when planning new lidar data acquisition.", "author" : [ { "dropping-particle" : "", "family" : "Hellesen", "given" : "Thomas", "non-dropping-particle" : "", "parse-names" : false, "suffix" : "" }, { "dropping-particle" : "", "family" : "Matikainen", "given" : "Leena", "non-dropping-particle" : "", "parse-names" : false, "suffix" : "" } ], "container-title" : "Remote Sensing", "id" : "ITEM-1", "issue" : "2", "issued" : { "date-parts" : [ [ "2013" ] ] }, "page" : "558-583", "title" : "An object-based approach for mapping shrub and tree cover on grassland habitats by use of liDAR and CIR orthoimages", "type" : "article-journal", "volume" : "5" }, "uris" : [ "http://www.mendeley.com/documents/?uuid=cdea8e77-5132-4b00-a322-dd8e69fec2f7" ] } ], "mendeley" : { "formattedCitation" : "(Hellesen &amp; Matikainen, 2013)", "manualFormatting" : "(Hellesen y Matikainen, 2013)", "plainTextFormattedCitation" : "(Hellesen &amp; Matikainen, 2013)", "previouslyFormattedCitation" : "(Hellesen &amp; Matikainen, 2013)" }, "properties" : {  }, "schema" : "https://github.com/citation-style-language/schema/raw/master/csl-citation.json" }</w:instrText>
      </w:r>
      <w:r w:rsidR="000F4BF0">
        <w:fldChar w:fldCharType="separate"/>
      </w:r>
      <w:r w:rsidR="000F4BF0" w:rsidRPr="004E0B0D">
        <w:rPr>
          <w:noProof/>
        </w:rPr>
        <w:t xml:space="preserve">(Hellesen </w:t>
      </w:r>
      <w:r w:rsidR="000F4BF0">
        <w:rPr>
          <w:noProof/>
        </w:rPr>
        <w:t>y</w:t>
      </w:r>
      <w:r w:rsidR="000F4BF0" w:rsidRPr="004E0B0D">
        <w:rPr>
          <w:noProof/>
        </w:rPr>
        <w:t xml:space="preserve"> Matikainen</w:t>
      </w:r>
      <w:r w:rsidR="000F4BF0">
        <w:rPr>
          <w:noProof/>
        </w:rPr>
        <w:t>,</w:t>
      </w:r>
      <w:r w:rsidR="000F4BF0" w:rsidRPr="004E0B0D">
        <w:rPr>
          <w:noProof/>
        </w:rPr>
        <w:t xml:space="preserve"> 2013)</w:t>
      </w:r>
      <w:r w:rsidR="000F4BF0">
        <w:fldChar w:fldCharType="end"/>
      </w:r>
      <w:r w:rsidR="000F4BF0">
        <w:t>.</w:t>
      </w:r>
      <w:r w:rsidR="00FF70B0">
        <w:t xml:space="preserve"> </w:t>
      </w:r>
      <w:r w:rsidR="008606DE">
        <w:t>En este sentido, l</w:t>
      </w:r>
      <w:r w:rsidR="00727F22" w:rsidRPr="00600663">
        <w:t xml:space="preserve">a clasificación de la cubierta terrestre basada solo en datos LiDAR ha mostrado resultados prometedores </w:t>
      </w:r>
      <w:r w:rsidR="00727F22">
        <w:t>(</w:t>
      </w:r>
      <w:r w:rsidR="00727F22" w:rsidRPr="004E0B0D">
        <w:rPr>
          <w:noProof/>
          <w:lang w:val="es-ES_tradnl"/>
        </w:rPr>
        <w:t xml:space="preserve">Brennan </w:t>
      </w:r>
      <w:r w:rsidR="00727F22">
        <w:rPr>
          <w:noProof/>
          <w:lang w:val="es-ES_tradnl"/>
        </w:rPr>
        <w:t xml:space="preserve">y Webster, 2006; </w:t>
      </w:r>
      <w:r w:rsidR="00727F22" w:rsidRPr="004E0B0D">
        <w:rPr>
          <w:noProof/>
          <w:lang w:val="es-ES_tradnl"/>
        </w:rPr>
        <w:t>Antonarakis</w:t>
      </w:r>
      <w:r w:rsidR="00727F22" w:rsidRPr="00600663">
        <w:t xml:space="preserve"> </w:t>
      </w:r>
      <w:r w:rsidR="006F4F8B" w:rsidRPr="006F4F8B">
        <w:rPr>
          <w:i/>
        </w:rPr>
        <w:t>et al</w:t>
      </w:r>
      <w:r w:rsidR="00727F22">
        <w:t>., 2008</w:t>
      </w:r>
      <w:r w:rsidR="008606DE">
        <w:t>), incorporándose con frecuencia l</w:t>
      </w:r>
      <w:r w:rsidR="00727F22" w:rsidRPr="00600663">
        <w:t xml:space="preserve">a información de altura que aportan estos datos </w:t>
      </w:r>
      <w:r w:rsidR="008606DE">
        <w:t>al</w:t>
      </w:r>
      <w:r w:rsidR="00727F22" w:rsidRPr="00600663">
        <w:t xml:space="preserve"> análisis de imágenes basado en objetos</w:t>
      </w:r>
      <w:r w:rsidR="00462835">
        <w:t>.</w:t>
      </w:r>
    </w:p>
    <w:p w14:paraId="6A64C723" w14:textId="20045B81" w:rsidR="00EF1B1F" w:rsidRDefault="00D41772" w:rsidP="00023026">
      <w:r w:rsidRPr="00600663">
        <w:t xml:space="preserve">La detección y delineación </w:t>
      </w:r>
      <w:r w:rsidR="00F1644F">
        <w:t>exacta</w:t>
      </w:r>
      <w:r w:rsidRPr="00600663">
        <w:t xml:space="preserve"> de</w:t>
      </w:r>
      <w:r w:rsidR="00A8688B">
        <w:t xml:space="preserve">l dosel arbóreo </w:t>
      </w:r>
      <w:r w:rsidR="00F1644F">
        <w:t>en la dehesa</w:t>
      </w:r>
      <w:r w:rsidRPr="00600663">
        <w:t xml:space="preserve"> </w:t>
      </w:r>
      <w:r w:rsidR="00F1644F">
        <w:t>continúa</w:t>
      </w:r>
      <w:r w:rsidRPr="00600663">
        <w:t xml:space="preserve"> siendo un desafío abierto</w:t>
      </w:r>
      <w:r w:rsidR="00727F22">
        <w:t xml:space="preserve"> </w:t>
      </w:r>
      <w:r w:rsidR="00727F22">
        <w:fldChar w:fldCharType="begin" w:fldLock="1"/>
      </w:r>
      <w:r w:rsidR="00727F22">
        <w:instrText>ADDIN CSL_CITATION { "citationItems" : [ { "id" : "ITEM-1", "itemData" : { "DOI" : "10.1007/s10457-014-9769-3", "ISSN" : "15729680", "abstract" : "Mapping the land-cover pattern dominated by complex Mediterranean silvo-pastoral systems with an accuracy that enables precise monitoring of changing tree-cover density is still an open challenge. The main goal of this paper is to demonstrate the implementation and effectiveness of the Forest Canopy Density (FCD) model in producing a remote sensing-based and detailed map of montado canopy density over a large territory in southern Portugal. This map will make a fundamental contribution to accurately identifying and assessing High Nature Value farmland in montado areas. The results reveal that the FCD model is an effective approach to estimating the density classes of montado canopy (overall accuracy = 78.0 %, kappa value = 0.71). The study also shows that the FCD approach generated good user\u2019s and producer\u2019s accuracies for the three montado canopy-density classes. Globally, the results obtained show that biophysical indices such as the advanced vegetation index, the bare soil index, the shadow index and the thermal index are suitable for estimating and mapping montado canopy-density classes. These results constitute the first remote sensing-based product for mapping montado canopy density that has been developed using the FCD model. This research clearly demonstrates that this approach can be used in the context of Mediterranean agro-forestry systems.", "author" : [ { "dropping-particle" : "", "family" : "Godinho", "given" : "S\u00e9rgio", "non-dropping-particle" : "", "parse-names" : false, "suffix" : "" }, { "dropping-particle" : "", "family" : "Gil", "given" : "Artur", "non-dropping-particle" : "", "parse-names" : false, "suffix" : "" }, { "dropping-particle" : "", "family" : "Guiomar", "given" : "Nuno", "non-dropping-particle" : "", "parse-names" : false, "suffix" : "" }, { "dropping-particle" : "", "family" : "Neves", "given" : "Nuno", "non-dropping-particle" : "", "parse-names" : false, "suffix" : "" }, { "dropping-particle" : "", "family" : "Pinto-Correia", "given" : "Teresa", "non-dropping-particle" : "", "parse-names" : false, "suffix" : "" } ], "container-title" : "Agroforestry Systems", "id" : "ITEM-1", "issue" : "1", "issued" : { "date-parts" : [ [ "2016" ] ] }, "page" : "23-34", "title" : "A remote sensing-based approach to estimating montado canopy density using the FCD model: a contribution to identifying HNV farmlands in southern Portugal", "type" : "article-journal", "volume" : "90" }, "uris" : [ "http://www.mendeley.com/documents/?uuid=51fd3ce6-4463-4f90-835b-1254feb40b1b" ] } ], "mendeley" : { "formattedCitation" : "(Godinho, Gil, Guiomar, Neves, &amp; Pinto-Correia, 2016)", "manualFormatting" : "(Godinho et al., 2016)", "plainTextFormattedCitation" : "(Godinho, Gil, Guiomar, Neves, &amp; Pinto-Correia, 2016)", "previouslyFormattedCitation" : "(Godinho, Gil, Guiomar, Neves, &amp; Pinto-Correia, 2016)" }, "properties" : {  }, "schema" : "https://github.com/citation-style-language/schema/raw/master/csl-citation.json" }</w:instrText>
      </w:r>
      <w:r w:rsidR="00727F22">
        <w:fldChar w:fldCharType="separate"/>
      </w:r>
      <w:r w:rsidR="00727F22">
        <w:rPr>
          <w:noProof/>
        </w:rPr>
        <w:t xml:space="preserve">(Godinho </w:t>
      </w:r>
      <w:r w:rsidR="006F4F8B" w:rsidRPr="006F4F8B">
        <w:rPr>
          <w:i/>
          <w:noProof/>
        </w:rPr>
        <w:t>et al</w:t>
      </w:r>
      <w:r w:rsidR="00727F22">
        <w:rPr>
          <w:noProof/>
        </w:rPr>
        <w:t>.,</w:t>
      </w:r>
      <w:r w:rsidR="00727F22" w:rsidRPr="00727F22">
        <w:rPr>
          <w:noProof/>
        </w:rPr>
        <w:t xml:space="preserve"> 2016)</w:t>
      </w:r>
      <w:r w:rsidR="00727F22">
        <w:fldChar w:fldCharType="end"/>
      </w:r>
      <w:r w:rsidR="00727F22" w:rsidRPr="00727F22">
        <w:t>.</w:t>
      </w:r>
      <w:r w:rsidR="00A866AD">
        <w:rPr>
          <w:sz w:val="18"/>
        </w:rPr>
        <w:t xml:space="preserve"> </w:t>
      </w:r>
      <w:r w:rsidR="00023026" w:rsidRPr="00600663">
        <w:t xml:space="preserve">El objetivo de este trabajo es </w:t>
      </w:r>
      <w:r w:rsidR="001A67C6">
        <w:t>proponer</w:t>
      </w:r>
      <w:r w:rsidR="00023026" w:rsidRPr="00600663">
        <w:t xml:space="preserve"> una metodología fiable que, a partir de datos de libre acceso, permita la determinación de la </w:t>
      </w:r>
      <w:r w:rsidR="00A8688B">
        <w:t>FCC</w:t>
      </w:r>
      <w:r w:rsidR="00023026" w:rsidRPr="00600663">
        <w:t xml:space="preserve"> en la dehesa, un sistema espacialmente heterogéneo (mezcla íntima de especies herbáceas, arbustivas y arbóreas) con fuerte estacionalidad (especialmente marcada en el estrato herbáceo).</w:t>
      </w:r>
    </w:p>
    <w:p w14:paraId="62371637" w14:textId="77777777" w:rsidR="000255C4" w:rsidRPr="00A866AD" w:rsidRDefault="000255C4" w:rsidP="00023026">
      <w:pPr>
        <w:rPr>
          <w:sz w:val="18"/>
        </w:rPr>
      </w:pPr>
    </w:p>
    <w:p w14:paraId="0C4CADDC" w14:textId="77777777" w:rsidR="00D41772" w:rsidRPr="0047493C" w:rsidRDefault="00D41772" w:rsidP="0047493C">
      <w:pPr>
        <w:pStyle w:val="Ttulo1"/>
        <w:numPr>
          <w:ilvl w:val="0"/>
          <w:numId w:val="2"/>
        </w:numPr>
        <w:spacing w:before="240"/>
        <w:ind w:left="360" w:hanging="360"/>
        <w:rPr>
          <w:rFonts w:eastAsia="Times New Roman" w:cs="Times New Roman"/>
          <w:lang w:eastAsia="es-ES"/>
        </w:rPr>
      </w:pPr>
      <w:r w:rsidRPr="0047493C">
        <w:rPr>
          <w:rFonts w:eastAsia="Times New Roman" w:cs="Times New Roman"/>
          <w:lang w:eastAsia="es-ES"/>
        </w:rPr>
        <w:t>MATERIAL Y MÉTODOS</w:t>
      </w:r>
    </w:p>
    <w:p w14:paraId="74B69448" w14:textId="77777777" w:rsidR="00EF1B1F" w:rsidRPr="00600663" w:rsidRDefault="00EF1B1F" w:rsidP="00EF1B1F">
      <w:pPr>
        <w:pStyle w:val="Ttulo2"/>
      </w:pPr>
      <w:r w:rsidRPr="00600663">
        <w:t>Área de estudio</w:t>
      </w:r>
    </w:p>
    <w:p w14:paraId="1B637350" w14:textId="669B7600" w:rsidR="008101FE" w:rsidRPr="009433D8" w:rsidRDefault="00337441" w:rsidP="00337441">
      <w:r w:rsidRPr="009433D8">
        <w:t xml:space="preserve">El trabajo que aquí se presenta se ha desarrollado en </w:t>
      </w:r>
      <w:r w:rsidR="002E4E21" w:rsidRPr="009433D8">
        <w:t>un</w:t>
      </w:r>
      <w:r w:rsidRPr="009433D8">
        <w:t xml:space="preserve"> área de dehesa localizada en </w:t>
      </w:r>
      <w:r w:rsidR="002E4E21" w:rsidRPr="009433D8">
        <w:t>el</w:t>
      </w:r>
      <w:r w:rsidRPr="009433D8">
        <w:t xml:space="preserve"> término municipal de Majadas de Tiétar (</w:t>
      </w:r>
      <w:r w:rsidR="00462835" w:rsidRPr="009433D8">
        <w:t xml:space="preserve">en el </w:t>
      </w:r>
      <w:r w:rsidRPr="009433D8">
        <w:t>noreste de la provincia de Cáceres</w:t>
      </w:r>
      <w:r w:rsidR="002E4E21" w:rsidRPr="009433D8">
        <w:t>)</w:t>
      </w:r>
      <w:r w:rsidR="00B31A5C" w:rsidRPr="009433D8">
        <w:t xml:space="preserve">. Dicha área </w:t>
      </w:r>
      <w:r w:rsidR="00462835" w:rsidRPr="009433D8">
        <w:t>(Figura 1)</w:t>
      </w:r>
      <w:r w:rsidR="007F17FD">
        <w:t>, que sustenta</w:t>
      </w:r>
      <w:r w:rsidRPr="009433D8">
        <w:t xml:space="preserve"> una explotación extensiva de ganado bovino</w:t>
      </w:r>
      <w:r w:rsidR="007F17FD">
        <w:t>,</w:t>
      </w:r>
      <w:r w:rsidRPr="009433D8">
        <w:t xml:space="preserve"> </w:t>
      </w:r>
      <w:r w:rsidR="008101FE" w:rsidRPr="009433D8">
        <w:t>p</w:t>
      </w:r>
      <w:r w:rsidRPr="009433D8">
        <w:t>resenta un clima mediterráneo</w:t>
      </w:r>
      <w:r w:rsidR="00462835" w:rsidRPr="009433D8">
        <w:t>,</w:t>
      </w:r>
      <w:r w:rsidRPr="009433D8">
        <w:t xml:space="preserve"> con una temperatura media anual de 16,7° C, una precipitación media anual de 572 mm y una altitud media sobre el nivel del mar de 256 m. </w:t>
      </w:r>
    </w:p>
    <w:p w14:paraId="514B7FEE" w14:textId="750ACA0B" w:rsidR="00337441" w:rsidRPr="009433D8" w:rsidRDefault="00B31A5C" w:rsidP="00337441">
      <w:r w:rsidRPr="009433D8">
        <w:t>En esta área s</w:t>
      </w:r>
      <w:r w:rsidR="00337441" w:rsidRPr="009433D8">
        <w:t>e distinguen</w:t>
      </w:r>
      <w:r w:rsidR="008101FE" w:rsidRPr="009433D8">
        <w:t xml:space="preserve"> </w:t>
      </w:r>
      <w:r w:rsidR="00337441" w:rsidRPr="009433D8">
        <w:t>dos estratos de vegetación muy diferenciados: el estrato arbóreo, compuesto por árboles dispersos, siendo la encina la especie principal, y el estrato herbáceo</w:t>
      </w:r>
      <w:r w:rsidR="00462835" w:rsidRPr="009433D8">
        <w:t>,</w:t>
      </w:r>
      <w:r w:rsidR="00337441" w:rsidRPr="009433D8">
        <w:t xml:space="preserve"> que representa el 8</w:t>
      </w:r>
      <w:r w:rsidR="00462835" w:rsidRPr="009433D8">
        <w:t>2,16</w:t>
      </w:r>
      <w:r w:rsidR="00337441" w:rsidRPr="009433D8">
        <w:t>% d</w:t>
      </w:r>
      <w:r w:rsidR="00462835" w:rsidRPr="009433D8">
        <w:t xml:space="preserve">e la superficie </w:t>
      </w:r>
      <w:r w:rsidR="00337441" w:rsidRPr="009433D8">
        <w:t>contemplada.</w:t>
      </w:r>
    </w:p>
    <w:p w14:paraId="021A9DFC" w14:textId="455EBEC8" w:rsidR="00337441" w:rsidRDefault="00A8216F" w:rsidP="00337441">
      <w:pPr>
        <w:pStyle w:val="Ttulo2"/>
      </w:pPr>
      <w:r>
        <w:t>Fuentes</w:t>
      </w:r>
    </w:p>
    <w:p w14:paraId="522B7801" w14:textId="0143E926" w:rsidR="00116494" w:rsidRPr="00B202A3" w:rsidRDefault="00B202A3" w:rsidP="00B202A3">
      <w:r>
        <w:t xml:space="preserve">En los siguientes epígrafes se describen </w:t>
      </w:r>
      <w:r w:rsidR="00A8216F">
        <w:t>las fuentes</w:t>
      </w:r>
      <w:r>
        <w:t xml:space="preserve"> </w:t>
      </w:r>
      <w:r w:rsidR="00A8216F">
        <w:t xml:space="preserve">de datos contempladas </w:t>
      </w:r>
      <w:r>
        <w:t>en la realización del presente estudio.</w:t>
      </w:r>
      <w:r w:rsidR="00437B26">
        <w:t xml:space="preserve"> </w:t>
      </w:r>
    </w:p>
    <w:p w14:paraId="68A7A5B1" w14:textId="77777777" w:rsidR="008C7117" w:rsidRPr="00600663" w:rsidRDefault="00337441" w:rsidP="008C7117">
      <w:pPr>
        <w:pStyle w:val="Ttulo3"/>
      </w:pPr>
      <w:r w:rsidRPr="00600663">
        <w:t xml:space="preserve">Ortofotografías </w:t>
      </w:r>
      <w:r w:rsidR="006D23B2" w:rsidRPr="00600663">
        <w:t>en falso color infrarrojo</w:t>
      </w:r>
    </w:p>
    <w:p w14:paraId="1CBBC9F7" w14:textId="25540244" w:rsidR="00A2115D" w:rsidRPr="00600663" w:rsidRDefault="006D23B2" w:rsidP="00A2115D">
      <w:r w:rsidRPr="00600663">
        <w:t xml:space="preserve">Se han empleado las ortofotografías en falso color infrarrojo del año 2010 correspondientes a la hoja 0624 del </w:t>
      </w:r>
      <w:r w:rsidRPr="00F9354A">
        <w:t>MTN50 (Mapa Topográfico Nacional a escala 1:50.000),</w:t>
      </w:r>
      <w:r w:rsidRPr="00600663">
        <w:t xml:space="preserve"> con una resolución espacial de 0,25 m</w:t>
      </w:r>
      <w:r w:rsidRPr="00600663">
        <w:rPr>
          <w:vertAlign w:val="superscript"/>
        </w:rPr>
        <w:t>2</w:t>
      </w:r>
      <w:r w:rsidRPr="00600663">
        <w:t xml:space="preserve"> por píxel, resolución radiométrica de 8 bits, sistema geodésico de referencia ETRS89, sistema cartográfico de representación UTM y </w:t>
      </w:r>
      <w:r w:rsidR="00437B26">
        <w:t>exactitud</w:t>
      </w:r>
      <w:r w:rsidRPr="00600663">
        <w:t xml:space="preserve"> planimétrica de 0,50 m</w:t>
      </w:r>
      <w:r w:rsidR="00A2361B" w:rsidRPr="00A2361B">
        <w:t>.</w:t>
      </w:r>
      <w:r w:rsidR="006E4867">
        <w:t xml:space="preserve"> </w:t>
      </w:r>
      <w:r w:rsidR="00A2115D">
        <w:t>Dichas</w:t>
      </w:r>
      <w:r w:rsidR="00A2115D" w:rsidRPr="00600663">
        <w:t xml:space="preserve"> ortofotografías han sido obtenidas por el PNOA, y suministradas por el CICTEX (Centro de Información Cartográfica y Territorial de Extremadura) como ficheros de 3 bandas IRG (falso color infrarrojo) en formato ECW (</w:t>
      </w:r>
      <w:r w:rsidR="00A2115D" w:rsidRPr="00A2361B">
        <w:rPr>
          <w:i/>
        </w:rPr>
        <w:t>Enhanced Compressed Wavelet</w:t>
      </w:r>
      <w:r w:rsidR="00A2115D" w:rsidRPr="00600663">
        <w:t>).</w:t>
      </w:r>
    </w:p>
    <w:p w14:paraId="466D0B33" w14:textId="3AF6BD41" w:rsidR="000C2A38" w:rsidRDefault="000C2A38" w:rsidP="000C2A38">
      <w:r w:rsidRPr="00600663">
        <w:lastRenderedPageBreak/>
        <w:t xml:space="preserve">Los </w:t>
      </w:r>
      <w:r w:rsidR="00C454E3" w:rsidRPr="00600663">
        <w:t xml:space="preserve">datos de referencia </w:t>
      </w:r>
      <w:r w:rsidR="00C454E3">
        <w:t xml:space="preserve">o “Verdad Terreno” </w:t>
      </w:r>
      <w:r w:rsidR="00483D92">
        <w:t>se</w:t>
      </w:r>
      <w:r w:rsidRPr="00600663">
        <w:t xml:space="preserve"> obtuvieron mediante fotointerpretación de </w:t>
      </w:r>
      <w:r w:rsidR="00C454E3">
        <w:t xml:space="preserve">las </w:t>
      </w:r>
      <w:r w:rsidRPr="00600663">
        <w:t>ortofoto</w:t>
      </w:r>
      <w:r>
        <w:t>grafía</w:t>
      </w:r>
      <w:r w:rsidR="00C454E3">
        <w:t>s</w:t>
      </w:r>
      <w:r w:rsidRPr="00600663">
        <w:t xml:space="preserve"> </w:t>
      </w:r>
      <w:r w:rsidR="00C454E3">
        <w:t>descritas</w:t>
      </w:r>
      <w:r w:rsidRPr="00600663">
        <w:t>, habiéndose digitalizado por este método la totalidad del dosel arbóreo del área de estudio.</w:t>
      </w:r>
      <w:r>
        <w:t xml:space="preserve"> </w:t>
      </w:r>
      <w:r w:rsidR="00C454E3" w:rsidRPr="00600663">
        <w:t>Se contemplaron 6</w:t>
      </w:r>
      <w:r w:rsidR="00C454E3">
        <w:t>.</w:t>
      </w:r>
      <w:r w:rsidR="00C454E3" w:rsidRPr="00600663">
        <w:t>500 puntos de referencia</w:t>
      </w:r>
      <w:r w:rsidR="00483D92">
        <w:t>,</w:t>
      </w:r>
      <w:r w:rsidR="00C454E3" w:rsidRPr="00600663">
        <w:t xml:space="preserve"> </w:t>
      </w:r>
      <w:r w:rsidR="00483D92" w:rsidRPr="00600663">
        <w:t xml:space="preserve">generados </w:t>
      </w:r>
      <w:r w:rsidR="00483D92">
        <w:t>con</w:t>
      </w:r>
      <w:r w:rsidR="00483D92" w:rsidRPr="00600663">
        <w:t xml:space="preserve"> la herramienta de diseño muestral para </w:t>
      </w:r>
      <w:r w:rsidR="00483D92" w:rsidRPr="00A2361B">
        <w:t>ArcGIS</w:t>
      </w:r>
      <w:r w:rsidR="00483D92" w:rsidRPr="00600663">
        <w:rPr>
          <w:color w:val="FF0000"/>
        </w:rPr>
        <w:t xml:space="preserve"> </w:t>
      </w:r>
      <w:r w:rsidR="00483D92" w:rsidRPr="00600663">
        <w:t>“</w:t>
      </w:r>
      <w:r w:rsidR="00483D92" w:rsidRPr="00A2361B">
        <w:rPr>
          <w:i/>
        </w:rPr>
        <w:t>Sampling Design Tool</w:t>
      </w:r>
      <w:r w:rsidR="00483D92" w:rsidRPr="00600663">
        <w:t>” de la división Biogeográfica de la NOAA's (</w:t>
      </w:r>
      <w:r w:rsidR="00483D92" w:rsidRPr="00A2361B">
        <w:rPr>
          <w:i/>
        </w:rPr>
        <w:t>National Centers for Coastal Ocean Science</w:t>
      </w:r>
      <w:r w:rsidR="00483D92" w:rsidRPr="00600663">
        <w:t>)</w:t>
      </w:r>
      <w:r w:rsidR="00483D92">
        <w:t xml:space="preserve">, </w:t>
      </w:r>
      <w:r w:rsidR="00C454E3" w:rsidRPr="00600663">
        <w:t>con el fin de obtener una representatividad promedio de un punto cada 250 m</w:t>
      </w:r>
      <w:r w:rsidR="00C454E3" w:rsidRPr="00600663">
        <w:rPr>
          <w:vertAlign w:val="superscript"/>
        </w:rPr>
        <w:t>2</w:t>
      </w:r>
      <w:r w:rsidR="00483D92">
        <w:t>.</w:t>
      </w:r>
      <w:r w:rsidR="00C454E3">
        <w:t xml:space="preserve"> </w:t>
      </w:r>
      <w:r w:rsidR="00483D92">
        <w:t>D</w:t>
      </w:r>
      <w:r w:rsidR="00C454E3">
        <w:t xml:space="preserve">ichos puntos </w:t>
      </w:r>
      <w:r w:rsidR="00C454E3" w:rsidRPr="00600663">
        <w:t xml:space="preserve">fueron </w:t>
      </w:r>
      <w:r w:rsidR="00483D92">
        <w:t>seleccionados mediante</w:t>
      </w:r>
      <w:r w:rsidR="00C454E3">
        <w:t xml:space="preserve"> muestreo aleatorio simple por</w:t>
      </w:r>
      <w:r w:rsidR="00C454E3" w:rsidRPr="00600663">
        <w:t xml:space="preserve"> </w:t>
      </w:r>
      <w:r w:rsidRPr="00600663">
        <w:t xml:space="preserve">estar los dos estratos de vegetación (arbolado y pasto) uniformemente distribuidos </w:t>
      </w:r>
      <w:r>
        <w:t>en la</w:t>
      </w:r>
      <w:r w:rsidRPr="00600663">
        <w:t xml:space="preserve"> superficie contemplada</w:t>
      </w:r>
      <w:r w:rsidR="00C454E3">
        <w:t>.</w:t>
      </w:r>
      <w:r w:rsidRPr="00600663">
        <w:t xml:space="preserve"> </w:t>
      </w:r>
    </w:p>
    <w:p w14:paraId="4351358D" w14:textId="77777777" w:rsidR="00337441" w:rsidRPr="00600663" w:rsidRDefault="00337441" w:rsidP="00337441">
      <w:pPr>
        <w:pStyle w:val="Ttulo3"/>
      </w:pPr>
      <w:r w:rsidRPr="00600663">
        <w:t>Datos LiDAR</w:t>
      </w:r>
    </w:p>
    <w:p w14:paraId="2E8979D7" w14:textId="588F5C01" w:rsidR="00116494" w:rsidRPr="00116494" w:rsidRDefault="008C7117" w:rsidP="008C7117">
      <w:pPr>
        <w:rPr>
          <w:color w:val="FF0000"/>
        </w:rPr>
      </w:pPr>
      <w:r w:rsidRPr="00600663">
        <w:t xml:space="preserve">Los datos LiDAR empleados en este estudio pertenecen al PNOA y se encuentran disponibles en el </w:t>
      </w:r>
      <w:r w:rsidR="008101FE" w:rsidRPr="00600663">
        <w:t xml:space="preserve">centro de descargas del CNIG </w:t>
      </w:r>
      <w:r w:rsidRPr="00600663">
        <w:t>(</w:t>
      </w:r>
      <w:r w:rsidR="008101FE" w:rsidRPr="00600663">
        <w:t>Centro Nacional de Información Geográfica</w:t>
      </w:r>
      <w:r w:rsidRPr="00600663">
        <w:t xml:space="preserve">). </w:t>
      </w:r>
      <w:r w:rsidR="00C9353B" w:rsidRPr="00600663">
        <w:t>Dichos datos fueron registrados en el área de estudio el 12 de septiembre de 2010, por el sensor ALS50-II, con una densidad de 0,5 pulsos/m</w:t>
      </w:r>
      <w:r w:rsidR="00C9353B" w:rsidRPr="00600663">
        <w:rPr>
          <w:vertAlign w:val="superscript"/>
        </w:rPr>
        <w:t>2</w:t>
      </w:r>
      <w:r w:rsidRPr="00600663">
        <w:t xml:space="preserve">. </w:t>
      </w:r>
      <w:r w:rsidR="00F9354A" w:rsidRPr="00600663">
        <w:t>Según lo expuesto por otros autores, dicha densidad puntual se considera suficiente para la delineación de la cubierta arbórea</w:t>
      </w:r>
      <w:r w:rsidR="00F9354A">
        <w:t xml:space="preserve"> </w:t>
      </w:r>
      <w:r w:rsidR="00F9354A">
        <w:fldChar w:fldCharType="begin" w:fldLock="1"/>
      </w:r>
      <w:r w:rsidR="00F9354A">
        <w:instrText>ADDIN CSL_CITATION { "citationItems" : [ { "id" : "ITEM-1", "itemData" : { "author" : [ { "dropping-particle" : "", "family" : "Ma", "given" : "Qin", "non-dropping-particle" : "", "parse-names" : false, "suffix" : "" }, { "dropping-particle" : "", "family" : "Su", "given" : "Yanjun", "non-dropping-particle" : "", "parse-names" : false, "suffix" : "" }, { "dropping-particle" : "", "family" : "Guo", "given" : "Qinghua", "non-dropping-particle" : "", "parse-names" : false, "suffix" : "" } ], "container-title" : "IEEE JOURNAL OF SELECTED TOPICS IN APPLIED EARTH OBSERVATIONS AND REMOTE SENSING", "id" : "ITEM-1", "issue" : "9", "issued" : { "date-parts" : [ [ "2017" ] ] }, "page" : "4225-4236", "title" : "Comparison of Canopy Cover Estimations From Airborne LiDAR, Aerial Imagery, and Satellite Imagery", "type" : "article-journal", "volume" : "10" }, "uris" : [ "http://www.mendeley.com/documents/?uuid=578799a5-cb1a-4d71-8565-083210d627c1" ] } ], "mendeley" : { "formattedCitation" : "(Ma, Su, and Guo 2017)", "manualFormatting" : "(Ma et al., 2017; ", "plainTextFormattedCitation" : "(Ma, Su, and Guo 2017)", "previouslyFormattedCitation" : "(Ma, Su, and Guo 2017)" }, "properties" : {  }, "schema" : "https://github.com/citation-style-language/schema/raw/master/csl-citation.json" }</w:instrText>
      </w:r>
      <w:r w:rsidR="00F9354A">
        <w:fldChar w:fldCharType="separate"/>
      </w:r>
      <w:r w:rsidR="00F9354A">
        <w:rPr>
          <w:noProof/>
        </w:rPr>
        <w:t>(Ma</w:t>
      </w:r>
      <w:r w:rsidR="00F9354A" w:rsidRPr="002F3181">
        <w:rPr>
          <w:noProof/>
        </w:rPr>
        <w:t xml:space="preserve"> </w:t>
      </w:r>
      <w:r w:rsidR="006F4F8B" w:rsidRPr="006F4F8B">
        <w:rPr>
          <w:i/>
          <w:noProof/>
        </w:rPr>
        <w:t>et al</w:t>
      </w:r>
      <w:r w:rsidR="00F9354A">
        <w:rPr>
          <w:noProof/>
        </w:rPr>
        <w:t>.,</w:t>
      </w:r>
      <w:r w:rsidR="00F9354A" w:rsidRPr="002F3181">
        <w:rPr>
          <w:noProof/>
        </w:rPr>
        <w:t xml:space="preserve"> 2017</w:t>
      </w:r>
      <w:r w:rsidR="00F9354A">
        <w:rPr>
          <w:noProof/>
        </w:rPr>
        <w:t xml:space="preserve">; </w:t>
      </w:r>
      <w:r w:rsidR="00F9354A">
        <w:fldChar w:fldCharType="end"/>
      </w:r>
      <w:r w:rsidR="00F9354A">
        <w:fldChar w:fldCharType="begin" w:fldLock="1"/>
      </w:r>
      <w:r w:rsidR="00F9354A">
        <w:instrText>ADDIN CSL_CITATION { "citationItems" : [ { "id" : "ITEM-1", "itemData" : { "DOI" : "10.3390/rs4040830", "ISBN" : "2072-4292", "ISSN" : "20724292", "abstract" : "Over the past two decades there has been an abundance of research demonstrating the utility of airborne light detection and ranging (LiDAR) for predicting forest biophysical/inventory variables at the plot and stand levels. However, to date there has been little effort to develop a set of protocols for data acquisition and processing that would move governments or the forest industry towards cost-effective implementation of this technology for strategic and tactical (i.e., operational) forest resource inventories. The goal of this paper is to initiate this process by examining the significance of LiDAR data acquisition (i.e., point density) for modeling forest inventory variables for the range of species and stand conditions representing much of Ontario, Canada. Field data for approximately 200 plots, sampling a broad range of forest types and conditions across Ontario, were collected for three study sites. Airborne LiDAR data, characterized by a mean density of 3.2 pulses m\u22122 were systematically decimated to produce additional datasets with densities of approximately 1.6 and 0.5 pulses m\u22122. Stepwise regression models, incorporating LiDAR height and density metrics, were developed for each of the three LiDAR datasets across a range of forest types to estimate the following forest inventory variables: (1) average height (R2(adj) = 0.75\u20130.95); (2) top height (R2(adj) = 0.74\u20130.98); (3) quadratic mean diameter (R2(adj) = 0.55\u20130.85); (4) basal area (R2(adj) = 0.22\u20130.93); (5) gross total volume (R2(adj) = 0.42\u20130.94); (6) gross merchantable volume (R2(adj) = 0.35\u20130.93); (7) total aboveground biomass (R2(adj) = 0.23\u20130.93); and (8) stem density (R2(adj) = 0.17\u20130.86). Aside from a few cases (i.e., average height and density for some stand types), no decimation effect was observed with respect to the precision of the prediction of the majority of forest variables, which suggests that a mean density of 0.5 pulses m\u22122 is sufficient for plot and stand level modeling under these diverse forest conditions across Ontario.", "author" : [ { "dropping-particle" : "", "family" : "Treitz", "given" : "Paul", "non-dropping-particle" : "", "parse-names" : false, "suffix" : "" }, { "dropping-particle" : "", "family" : "Lim", "given" : "Kevin", "non-dropping-particle" : "", "parse-names" : false, "suffix" : "" }, { "dropping-particle" : "", "family" : "Woods", "given" : "Murray", "non-dropping-particle" : "", "parse-names" : false, "suffix" : "" }, { "dropping-particle" : "", "family" : "Pitt", "given" : "Doug", "non-dropping-particle" : "", "parse-names" : false, "suffix" : "" }, { "dropping-particle" : "", "family" : "Nesbitt", "given" : "Dave", "non-dropping-particle" : "", "parse-names" : false, "suffix" : "" }, { "dropping-particle" : "", "family" : "Etheridge", "given" : "Dave", "non-dropping-particle" : "", "parse-names" : false, "suffix" : "" } ], "container-title" : "Remote Sensing", "id" : "ITEM-1", "issue" : "4", "issued" : { "date-parts" : [ [ "2012" ] ] }, "page" : "830-848", "title" : "LiDAR sampling density for forest resource inventories in Ontario, Canada", "type" : "article-journal", "volume" : "4" }, "uris" : [ "http://www.mendeley.com/documents/?uuid=2dec9532-1d76-45fb-8e83-36d9bb43bdc2" ] } ], "mendeley" : { "formattedCitation" : "(Treitz et al. 2012)", "manualFormatting" : "Treitz et al. 2012;", "plainTextFormattedCitation" : "(Treitz et al. 2012)", "previouslyFormattedCitation" : "(Treitz et al. 2012)" }, "properties" : {  }, "schema" : "https://github.com/citation-style-language/schema/raw/master/csl-citation.json" }</w:instrText>
      </w:r>
      <w:r w:rsidR="00F9354A">
        <w:fldChar w:fldCharType="separate"/>
      </w:r>
      <w:r w:rsidR="00F9354A" w:rsidRPr="002F3181">
        <w:rPr>
          <w:noProof/>
        </w:rPr>
        <w:t xml:space="preserve">Treitz </w:t>
      </w:r>
      <w:r w:rsidR="006F4F8B" w:rsidRPr="006F4F8B">
        <w:rPr>
          <w:i/>
          <w:noProof/>
        </w:rPr>
        <w:t>et al</w:t>
      </w:r>
      <w:r w:rsidR="00F9354A" w:rsidRPr="002F3181">
        <w:rPr>
          <w:noProof/>
        </w:rPr>
        <w:t>. 2012</w:t>
      </w:r>
      <w:r w:rsidR="00F9354A">
        <w:rPr>
          <w:noProof/>
        </w:rPr>
        <w:t>;</w:t>
      </w:r>
      <w:r w:rsidR="00F9354A">
        <w:fldChar w:fldCharType="end"/>
      </w:r>
      <w:r w:rsidR="00F9354A">
        <w:t xml:space="preserve"> </w:t>
      </w:r>
      <w:r w:rsidR="00F9354A">
        <w:fldChar w:fldCharType="begin" w:fldLock="1"/>
      </w:r>
      <w:r w:rsidR="00F9354A">
        <w:instrText>ADDIN CSL_CITATION { "citationItems" : [ { "id" : "ITEM-1", "itemData" : { "DOI" : "10.1093/forestry/cps002", "ISBN" : "0015752X (ISSN)", "ISSN" : "0015752X", "abstract" : "This study aimed to verify the validity of linear, power function and exponential models to estimate stand variables in Galician Atlantic forests of Pinus radiata D. Don using Light Detection and Ranging (LiDAR). These forests differ in structure and species composition from boreal forests, in which this methodology is fully developed. The models tested use LiDAR-derived canopy height and intensity distribution metrics as explanatory variables to predict the following stand attributes: mean height, dominant height, stand basal area, stand volume, stand crown biomass, stand stem biomass and stand aboveground biomass. Exponential models performed best in most cases, with goodness-of- fit statistics similar to those reported in the international literature for boreal forests. The coefficient of determination ranged from 0.44 (for stand crown biomass) to 0.87 (for dominant height), and the root mean square error/mean\u00b7100 ranged from 8.2 per cent (for dominant height) to 31.6 per cent (for stand stem biomass). Model precision did not essentially vary after reducing 94 per cent of the original point cloud, i.e. when laser pulse", "author" : [ { "dropping-particle" : "", "family" : "Gonz\u00e1lez-Ferreiro", "given" : "Eduardo", "non-dropping-particle" : "", "parse-names" : false, "suffix" : "" }, { "dropping-particle" : "", "family" : "Di\u00e9guez-Aranda", "given" : "Ulises", "non-dropping-particle" : "", "parse-names" : false, "suffix" : "" }, { "dropping-particle" : "", "family" : "Miranda", "given" : "David", "non-dropping-particle" : "", "parse-names" : false, "suffix" : "" } ], "container-title" : "Forestry", "id" : "ITEM-1", "issue" : "2", "issued" : { "date-parts" : [ [ "2012" ] ] }, "page" : "281-292", "title" : "Estimation of stand variables in Pinus radiata D. Don plantations using different LiDAR pulse densities", "type" : "article-journal", "volume" : "85" }, "uris" : [ "http://www.mendeley.com/documents/?uuid=db8dffa8-a834-4694-acb1-5a9f9adc941f" ] } ], "mendeley" : { "formattedCitation" : "(Gonz\u00e1lez-Ferreiro, Di\u00e9guez-Aranda, and Miranda 2012)", "manualFormatting" : "Gonz\u00e1lez-Ferreiro et al.,2012)", "plainTextFormattedCitation" : "(Gonz\u00e1lez-Ferreiro, Di\u00e9guez-Aranda, and Miranda 2012)", "previouslyFormattedCitation" : "(Gonz\u00e1lez-Ferreiro, Di\u00e9guez-Aranda, and Miranda 2012)" }, "properties" : {  }, "schema" : "https://github.com/citation-style-language/schema/raw/master/csl-citation.json" }</w:instrText>
      </w:r>
      <w:r w:rsidR="00F9354A">
        <w:fldChar w:fldCharType="separate"/>
      </w:r>
      <w:r w:rsidR="00F9354A" w:rsidRPr="002F3181">
        <w:rPr>
          <w:noProof/>
        </w:rPr>
        <w:t>González-Ferreiro</w:t>
      </w:r>
      <w:r w:rsidR="00F9354A">
        <w:rPr>
          <w:noProof/>
        </w:rPr>
        <w:t xml:space="preserve"> </w:t>
      </w:r>
      <w:r w:rsidR="006F4F8B" w:rsidRPr="006F4F8B">
        <w:rPr>
          <w:i/>
          <w:noProof/>
        </w:rPr>
        <w:t>et al</w:t>
      </w:r>
      <w:r w:rsidR="00F9354A">
        <w:rPr>
          <w:noProof/>
        </w:rPr>
        <w:t>.,</w:t>
      </w:r>
      <w:r w:rsidR="00F9354A" w:rsidRPr="002F3181">
        <w:rPr>
          <w:noProof/>
        </w:rPr>
        <w:t>2012)</w:t>
      </w:r>
      <w:r w:rsidR="00F9354A">
        <w:fldChar w:fldCharType="end"/>
      </w:r>
      <w:r w:rsidR="00F9354A">
        <w:t>.</w:t>
      </w:r>
      <w:r w:rsidR="00F9354A">
        <w:rPr>
          <w:color w:val="FF0000"/>
        </w:rPr>
        <w:t xml:space="preserve"> </w:t>
      </w:r>
    </w:p>
    <w:p w14:paraId="354FF83F" w14:textId="77777777" w:rsidR="00AF681E" w:rsidRDefault="00AF681E"/>
    <w:p w14:paraId="57F35098" w14:textId="77777777" w:rsidR="00AF681E" w:rsidRPr="00600663" w:rsidRDefault="00AF681E" w:rsidP="00AF681E">
      <w:pPr>
        <w:jc w:val="center"/>
        <w:rPr>
          <w:rFonts w:asciiTheme="minorHAnsi" w:hAnsiTheme="minorHAnsi" w:cstheme="minorHAnsi"/>
          <w:sz w:val="18"/>
          <w:szCs w:val="20"/>
        </w:rPr>
      </w:pPr>
      <w:r w:rsidRPr="00600663">
        <w:rPr>
          <w:rFonts w:asciiTheme="minorHAnsi" w:hAnsiTheme="minorHAnsi" w:cstheme="minorHAnsi"/>
          <w:noProof/>
          <w:sz w:val="20"/>
          <w:szCs w:val="20"/>
          <w:lang w:val="es-ES_tradnl" w:eastAsia="es-ES_tradnl"/>
        </w:rPr>
        <w:drawing>
          <wp:anchor distT="0" distB="0" distL="114300" distR="114300" simplePos="0" relativeHeight="251660288" behindDoc="0" locked="0" layoutInCell="1" allowOverlap="1" wp14:anchorId="2C67AA8A" wp14:editId="20064960">
            <wp:simplePos x="0" y="0"/>
            <wp:positionH relativeFrom="column">
              <wp:posOffset>177685</wp:posOffset>
            </wp:positionH>
            <wp:positionV relativeFrom="paragraph">
              <wp:posOffset>1039</wp:posOffset>
            </wp:positionV>
            <wp:extent cx="5762244" cy="3599688"/>
            <wp:effectExtent l="0" t="0" r="0" b="127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pa_situacion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2244" cy="3599688"/>
                    </a:xfrm>
                    <a:prstGeom prst="rect">
                      <a:avLst/>
                    </a:prstGeom>
                  </pic:spPr>
                </pic:pic>
              </a:graphicData>
            </a:graphic>
          </wp:anchor>
        </w:drawing>
      </w:r>
      <w:r w:rsidRPr="00600663">
        <w:rPr>
          <w:rFonts w:asciiTheme="minorHAnsi" w:hAnsiTheme="minorHAnsi" w:cstheme="minorHAnsi"/>
          <w:b/>
          <w:sz w:val="18"/>
          <w:szCs w:val="20"/>
        </w:rPr>
        <w:t>Figura 1.</w:t>
      </w:r>
      <w:r w:rsidRPr="00600663">
        <w:rPr>
          <w:rFonts w:asciiTheme="minorHAnsi" w:hAnsiTheme="minorHAnsi" w:cstheme="minorHAnsi"/>
          <w:sz w:val="18"/>
          <w:szCs w:val="20"/>
        </w:rPr>
        <w:t xml:space="preserve"> Mapa de </w:t>
      </w:r>
      <w:r>
        <w:rPr>
          <w:rFonts w:asciiTheme="minorHAnsi" w:hAnsiTheme="minorHAnsi" w:cstheme="minorHAnsi"/>
          <w:sz w:val="18"/>
          <w:szCs w:val="20"/>
        </w:rPr>
        <w:t>s</w:t>
      </w:r>
      <w:r w:rsidRPr="00600663">
        <w:rPr>
          <w:rFonts w:asciiTheme="minorHAnsi" w:hAnsiTheme="minorHAnsi" w:cstheme="minorHAnsi"/>
          <w:sz w:val="18"/>
          <w:szCs w:val="20"/>
        </w:rPr>
        <w:t xml:space="preserve">ituación del </w:t>
      </w:r>
      <w:r>
        <w:rPr>
          <w:rFonts w:asciiTheme="minorHAnsi" w:hAnsiTheme="minorHAnsi" w:cstheme="minorHAnsi"/>
          <w:sz w:val="18"/>
          <w:szCs w:val="20"/>
        </w:rPr>
        <w:t>á</w:t>
      </w:r>
      <w:r w:rsidRPr="00600663">
        <w:rPr>
          <w:rFonts w:asciiTheme="minorHAnsi" w:hAnsiTheme="minorHAnsi" w:cstheme="minorHAnsi"/>
          <w:sz w:val="18"/>
          <w:szCs w:val="20"/>
        </w:rPr>
        <w:t xml:space="preserve">rea de </w:t>
      </w:r>
      <w:r>
        <w:rPr>
          <w:rFonts w:asciiTheme="minorHAnsi" w:hAnsiTheme="minorHAnsi" w:cstheme="minorHAnsi"/>
          <w:sz w:val="18"/>
          <w:szCs w:val="20"/>
        </w:rPr>
        <w:t>e</w:t>
      </w:r>
      <w:r w:rsidRPr="00600663">
        <w:rPr>
          <w:rFonts w:asciiTheme="minorHAnsi" w:hAnsiTheme="minorHAnsi" w:cstheme="minorHAnsi"/>
          <w:sz w:val="18"/>
          <w:szCs w:val="20"/>
        </w:rPr>
        <w:t>studio.</w:t>
      </w:r>
    </w:p>
    <w:p w14:paraId="14502E97" w14:textId="59825EAD" w:rsidR="005F6CFE" w:rsidRDefault="005F6CFE"/>
    <w:p w14:paraId="2B121EE8" w14:textId="77777777" w:rsidR="008F76E4" w:rsidRPr="00600663" w:rsidRDefault="008F76E4" w:rsidP="008F76E4">
      <w:pPr>
        <w:pStyle w:val="Ttulo2"/>
      </w:pPr>
      <w:r w:rsidRPr="00600663">
        <w:t>Metodología</w:t>
      </w:r>
    </w:p>
    <w:p w14:paraId="713880BF" w14:textId="56BF640D" w:rsidR="003044C2" w:rsidRPr="00600663" w:rsidRDefault="000A5253" w:rsidP="003044C2">
      <w:r w:rsidRPr="00600663">
        <w:t xml:space="preserve">Se entiende como </w:t>
      </w:r>
      <w:r w:rsidR="00483D92">
        <w:t>FCC</w:t>
      </w:r>
      <w:r w:rsidRPr="00600663">
        <w:rPr>
          <w:rFonts w:cs="Times New Roman"/>
          <w:szCs w:val="24"/>
        </w:rPr>
        <w:t xml:space="preserve"> el área resultante de las proyecciones ortogonales de las copas individuales (sin doble conteo de las proyecciones de copas superpuestas)</w:t>
      </w:r>
      <w:r w:rsidR="00600663" w:rsidRPr="00600663">
        <w:rPr>
          <w:rFonts w:cs="Times New Roman"/>
          <w:szCs w:val="24"/>
        </w:rPr>
        <w:t xml:space="preserve"> dividida por la superficie que las soporta</w:t>
      </w:r>
      <w:r w:rsidRPr="00600663">
        <w:rPr>
          <w:rFonts w:cs="Times New Roman"/>
          <w:szCs w:val="24"/>
        </w:rPr>
        <w:t xml:space="preserve"> </w:t>
      </w:r>
      <w:r w:rsidR="00A2361B">
        <w:rPr>
          <w:rFonts w:cs="Times New Roman"/>
          <w:szCs w:val="24"/>
        </w:rPr>
        <w:t>(</w:t>
      </w:r>
      <w:r w:rsidR="00205994" w:rsidRPr="00A2361B">
        <w:t xml:space="preserve">Gschwantner </w:t>
      </w:r>
      <w:r w:rsidR="006F4F8B" w:rsidRPr="006F4F8B">
        <w:rPr>
          <w:i/>
        </w:rPr>
        <w:t>et al</w:t>
      </w:r>
      <w:r w:rsidR="00205994" w:rsidRPr="00A2361B">
        <w:t>.</w:t>
      </w:r>
      <w:r w:rsidR="00A2361B" w:rsidRPr="00A2361B">
        <w:t xml:space="preserve">, </w:t>
      </w:r>
      <w:r w:rsidR="00205994" w:rsidRPr="00A2361B">
        <w:t>2009)</w:t>
      </w:r>
      <w:r w:rsidR="0060223D">
        <w:rPr>
          <w:rFonts w:cs="Times New Roman"/>
          <w:szCs w:val="24"/>
        </w:rPr>
        <w:t>. E</w:t>
      </w:r>
      <w:r w:rsidRPr="00600663">
        <w:rPr>
          <w:rFonts w:cs="Times New Roman"/>
          <w:szCs w:val="24"/>
        </w:rPr>
        <w:t>sto</w:t>
      </w:r>
      <w:r w:rsidR="003044C2" w:rsidRPr="00600663">
        <w:rPr>
          <w:rFonts w:cs="Times New Roman"/>
          <w:szCs w:val="24"/>
        </w:rPr>
        <w:t xml:space="preserve"> significa que </w:t>
      </w:r>
      <w:r w:rsidR="00205994" w:rsidRPr="00600663">
        <w:rPr>
          <w:rFonts w:cs="Times New Roman"/>
          <w:szCs w:val="24"/>
        </w:rPr>
        <w:t xml:space="preserve">los </w:t>
      </w:r>
      <w:r w:rsidR="003044C2" w:rsidRPr="00600663">
        <w:rPr>
          <w:rFonts w:cs="Times New Roman"/>
          <w:szCs w:val="24"/>
        </w:rPr>
        <w:t xml:space="preserve">pequeños </w:t>
      </w:r>
      <w:r w:rsidRPr="00600663">
        <w:rPr>
          <w:rFonts w:cs="Times New Roman"/>
          <w:szCs w:val="24"/>
        </w:rPr>
        <w:t>huecos</w:t>
      </w:r>
      <w:r w:rsidR="003044C2" w:rsidRPr="00600663">
        <w:rPr>
          <w:rFonts w:cs="Times New Roman"/>
          <w:szCs w:val="24"/>
        </w:rPr>
        <w:t xml:space="preserve"> </w:t>
      </w:r>
      <w:r w:rsidR="0017434A">
        <w:rPr>
          <w:rFonts w:cs="Times New Roman"/>
          <w:szCs w:val="24"/>
        </w:rPr>
        <w:t>presentes</w:t>
      </w:r>
      <w:r w:rsidRPr="00600663">
        <w:rPr>
          <w:rFonts w:cs="Times New Roman"/>
          <w:szCs w:val="24"/>
        </w:rPr>
        <w:t xml:space="preserve"> </w:t>
      </w:r>
      <w:r w:rsidR="003044C2" w:rsidRPr="00600663">
        <w:rPr>
          <w:rFonts w:cs="Times New Roman"/>
          <w:szCs w:val="24"/>
        </w:rPr>
        <w:t xml:space="preserve">dentro del perímetro de </w:t>
      </w:r>
      <w:r w:rsidR="00205994" w:rsidRPr="00600663">
        <w:rPr>
          <w:rFonts w:cs="Times New Roman"/>
          <w:szCs w:val="24"/>
        </w:rPr>
        <w:t>copa</w:t>
      </w:r>
      <w:r w:rsidR="003044C2" w:rsidRPr="00600663">
        <w:rPr>
          <w:rFonts w:cs="Times New Roman"/>
          <w:szCs w:val="24"/>
        </w:rPr>
        <w:t xml:space="preserve"> </w:t>
      </w:r>
      <w:r w:rsidRPr="00600663">
        <w:rPr>
          <w:rFonts w:cs="Times New Roman"/>
          <w:szCs w:val="24"/>
        </w:rPr>
        <w:t xml:space="preserve">se incluyen en la </w:t>
      </w:r>
      <w:r w:rsidRPr="00600663">
        <w:t xml:space="preserve">cobertura del </w:t>
      </w:r>
      <w:r w:rsidR="0017434A" w:rsidRPr="00600663">
        <w:t>dosel</w:t>
      </w:r>
      <w:r w:rsidRPr="00600663">
        <w:t>.</w:t>
      </w:r>
    </w:p>
    <w:p w14:paraId="1FB010C1" w14:textId="09E3D3D2" w:rsidR="00116494" w:rsidRPr="00600663" w:rsidRDefault="00B31A5C" w:rsidP="00B31A5C">
      <w:r w:rsidRPr="00600663">
        <w:t xml:space="preserve">En este estudio se han evaluado tres metodologías, desarrolladas en </w:t>
      </w:r>
      <w:r w:rsidR="0017434A">
        <w:t xml:space="preserve">los </w:t>
      </w:r>
      <w:r w:rsidRPr="00600663">
        <w:t xml:space="preserve">epígrafes posteriores, para la delimitación de la </w:t>
      </w:r>
      <w:r w:rsidR="00483D92">
        <w:t>FCC</w:t>
      </w:r>
      <w:r w:rsidRPr="00600663">
        <w:t>.</w:t>
      </w:r>
    </w:p>
    <w:p w14:paraId="407F8F36" w14:textId="77777777" w:rsidR="000A5253" w:rsidRPr="00600663" w:rsidRDefault="00B31A5C" w:rsidP="00B31A5C">
      <w:pPr>
        <w:pStyle w:val="Ttulo3"/>
      </w:pPr>
      <w:r w:rsidRPr="00600663">
        <w:lastRenderedPageBreak/>
        <w:t>Modelo Digital de Superficie</w:t>
      </w:r>
    </w:p>
    <w:p w14:paraId="0C01334C" w14:textId="6BE09F24" w:rsidR="00276CF7" w:rsidRPr="00600663" w:rsidRDefault="00B31A5C" w:rsidP="00D52190">
      <w:r w:rsidRPr="00600663">
        <w:t>El modelo digital de superficie</w:t>
      </w:r>
      <w:r w:rsidR="00D52190" w:rsidRPr="00600663">
        <w:t xml:space="preserve"> (DSM</w:t>
      </w:r>
      <w:r w:rsidR="006E4867">
        <w:t>,</w:t>
      </w:r>
      <w:r w:rsidR="00D52190" w:rsidRPr="00600663">
        <w:t xml:space="preserve"> por </w:t>
      </w:r>
      <w:r w:rsidR="00B76AE5">
        <w:t xml:space="preserve">sus </w:t>
      </w:r>
      <w:r w:rsidR="00D52190" w:rsidRPr="00600663">
        <w:t>siglas en inglés)</w:t>
      </w:r>
      <w:r w:rsidRPr="00600663">
        <w:t xml:space="preserve"> permit</w:t>
      </w:r>
      <w:r w:rsidR="00F811EF">
        <w:t>ió</w:t>
      </w:r>
      <w:r w:rsidRPr="00600663">
        <w:t xml:space="preserve"> identificar las copas </w:t>
      </w:r>
      <w:r w:rsidR="00D52190" w:rsidRPr="00600663">
        <w:t xml:space="preserve">y delimitarlas. </w:t>
      </w:r>
      <w:r w:rsidR="006E4867">
        <w:t xml:space="preserve"> </w:t>
      </w:r>
      <w:r w:rsidR="00B76AE5">
        <w:t>Este</w:t>
      </w:r>
      <w:r w:rsidR="00D52190" w:rsidRPr="00600663">
        <w:t xml:space="preserve"> modelo se obtuvo con </w:t>
      </w:r>
      <w:r w:rsidR="00D52190" w:rsidRPr="00A2361B">
        <w:t>Arc</w:t>
      </w:r>
      <w:r w:rsidR="00C56E8B">
        <w:t xml:space="preserve">GIS </w:t>
      </w:r>
      <w:r w:rsidR="00D52190" w:rsidRPr="00A2361B">
        <w:t>10.</w:t>
      </w:r>
      <w:r w:rsidR="001A67C6" w:rsidRPr="00A2361B">
        <w:t>5</w:t>
      </w:r>
      <w:r w:rsidR="00507AA5">
        <w:t xml:space="preserve"> (Environmental Systems Research Institute, 2017)</w:t>
      </w:r>
      <w:r w:rsidR="00D52190" w:rsidRPr="00600663">
        <w:rPr>
          <w:color w:val="FF0000"/>
        </w:rPr>
        <w:t xml:space="preserve"> </w:t>
      </w:r>
      <w:r w:rsidR="00D52190" w:rsidRPr="00600663">
        <w:t>a partir de los primeros retornos de los datos LiDAR.</w:t>
      </w:r>
      <w:r w:rsidR="00B76AE5">
        <w:t xml:space="preserve"> S</w:t>
      </w:r>
      <w:r w:rsidR="00276CF7" w:rsidRPr="00600663">
        <w:t>e calculó con un tamaño de pixel de 1,5 m</w:t>
      </w:r>
      <w:r w:rsidR="00483D92">
        <w:t xml:space="preserve"> de lado</w:t>
      </w:r>
      <w:r w:rsidR="00276CF7" w:rsidRPr="00600663">
        <w:t>, ya que l</w:t>
      </w:r>
      <w:r w:rsidR="00D52190" w:rsidRPr="00600663">
        <w:t>os datos LiDAR empleados presentan una densidad de 0,5 puntos del primer retorno por metro cuadrado, lo que implica un espaciamiento entre puntos</w:t>
      </w:r>
      <w:r w:rsidR="00600663" w:rsidRPr="00600663">
        <w:t xml:space="preserve"> menor o igual</w:t>
      </w:r>
      <w:r w:rsidR="00D52190" w:rsidRPr="00600663">
        <w:t xml:space="preserve"> 1,41 m</w:t>
      </w:r>
      <w:r w:rsidR="00276CF7" w:rsidRPr="00600663">
        <w:t xml:space="preserve">. </w:t>
      </w:r>
    </w:p>
    <w:p w14:paraId="25199732" w14:textId="23461660" w:rsidR="00116494" w:rsidRDefault="00B76AE5" w:rsidP="00B31A5C">
      <w:r>
        <w:t>Dicho</w:t>
      </w:r>
      <w:r w:rsidR="00600663" w:rsidRPr="00600663">
        <w:t xml:space="preserve"> modelo</w:t>
      </w:r>
      <w:r w:rsidR="00276CF7" w:rsidRPr="00600663">
        <w:t xml:space="preserve"> se remuestreó seguidamente a una resolución de 0,25 m, con el fin de compararlo con el resto de metodologías evaluadas.</w:t>
      </w:r>
    </w:p>
    <w:p w14:paraId="25054E0A" w14:textId="77777777" w:rsidR="0060223D" w:rsidRPr="00600663" w:rsidRDefault="0060223D" w:rsidP="00B31A5C"/>
    <w:p w14:paraId="61CA0F8F" w14:textId="77777777" w:rsidR="00B31A5C" w:rsidRPr="00600663" w:rsidRDefault="00B31A5C" w:rsidP="00B31A5C">
      <w:pPr>
        <w:pStyle w:val="Ttulo3"/>
      </w:pPr>
      <w:r w:rsidRPr="00600663">
        <w:t>Clasificación Orientada a Objetos</w:t>
      </w:r>
    </w:p>
    <w:p w14:paraId="1FC3DC35" w14:textId="52D522BC" w:rsidR="005132C9" w:rsidRPr="00600663" w:rsidRDefault="001644E4" w:rsidP="005132C9">
      <w:r w:rsidRPr="00600663">
        <w:t xml:space="preserve">Se ha delineado el </w:t>
      </w:r>
      <w:r w:rsidR="00600663" w:rsidRPr="00600663">
        <w:t>dosel</w:t>
      </w:r>
      <w:r w:rsidRPr="00600663">
        <w:t xml:space="preserve"> </w:t>
      </w:r>
      <w:r w:rsidR="00483D92">
        <w:t xml:space="preserve">arbóreo </w:t>
      </w:r>
      <w:r w:rsidRPr="00600663">
        <w:t xml:space="preserve">mediante </w:t>
      </w:r>
      <w:r w:rsidR="004062C2" w:rsidRPr="00600663">
        <w:t xml:space="preserve">Clasificación Orientada </w:t>
      </w:r>
      <w:r w:rsidR="004062C2">
        <w:t>a</w:t>
      </w:r>
      <w:r w:rsidR="004062C2" w:rsidRPr="00600663">
        <w:t xml:space="preserve"> Objetos </w:t>
      </w:r>
      <w:r w:rsidR="00EC7B30" w:rsidRPr="00600663">
        <w:t>(OBIA</w:t>
      </w:r>
      <w:r w:rsidR="006E4867">
        <w:t>,</w:t>
      </w:r>
      <w:r w:rsidRPr="00600663">
        <w:t xml:space="preserve"> por sus siglas en inglés</w:t>
      </w:r>
      <w:r w:rsidR="00EC7B30" w:rsidRPr="00600663">
        <w:t>)</w:t>
      </w:r>
      <w:r w:rsidRPr="00600663">
        <w:t xml:space="preserve"> de ortofotografías en falso color infrarrojo, es decir, imágenes de tres bandas, compuestas por infrarrojo cercano, rojo y verde.</w:t>
      </w:r>
    </w:p>
    <w:p w14:paraId="0A5F6BFC" w14:textId="28647E2C" w:rsidR="00C75A62" w:rsidRPr="00600663" w:rsidRDefault="001644E4" w:rsidP="00687C3F">
      <w:r w:rsidRPr="00600663">
        <w:t xml:space="preserve">La segmentación se realizó mediante el algoritmo </w:t>
      </w:r>
      <w:r w:rsidR="001B6D81">
        <w:t>“</w:t>
      </w:r>
      <w:r w:rsidRPr="00600663">
        <w:t xml:space="preserve">Multiresolution </w:t>
      </w:r>
      <w:r w:rsidR="001B6D81">
        <w:t>S</w:t>
      </w:r>
      <w:r w:rsidRPr="00600663">
        <w:t>egmentation</w:t>
      </w:r>
      <w:r w:rsidR="001B6D81">
        <w:t>”</w:t>
      </w:r>
      <w:r w:rsidRPr="00600663">
        <w:t>, implementado en el software eCognition Developer v.8.0</w:t>
      </w:r>
      <w:r w:rsidR="00A2361B">
        <w:t>.</w:t>
      </w:r>
      <w:r w:rsidR="00D9763D">
        <w:t xml:space="preserve"> (Trimble, 2009). </w:t>
      </w:r>
      <w:r w:rsidR="00687C3F" w:rsidRPr="00600663">
        <w:rPr>
          <w:color w:val="FF0000"/>
          <w:sz w:val="16"/>
        </w:rPr>
        <w:t xml:space="preserve"> </w:t>
      </w:r>
      <w:r w:rsidR="00600663">
        <w:t>A</w:t>
      </w:r>
      <w:r w:rsidR="00600663" w:rsidRPr="00600663">
        <w:t xml:space="preserve"> la banda del infrarrojo cercano </w:t>
      </w:r>
      <w:r w:rsidR="00600663">
        <w:t xml:space="preserve">se le asignó un peso igual a 2, </w:t>
      </w:r>
      <w:r w:rsidR="00C56E8B">
        <w:t>por ser la de mayor</w:t>
      </w:r>
      <w:r w:rsidR="00B21295">
        <w:t xml:space="preserve"> influencia en la detección </w:t>
      </w:r>
      <w:r w:rsidR="00C56E8B">
        <w:t xml:space="preserve">de la vegetación, </w:t>
      </w:r>
      <w:r w:rsidR="00600663">
        <w:t>manteniendo las bandas restantes con el valor establecido por defecto</w:t>
      </w:r>
      <w:r w:rsidR="00C75A62" w:rsidRPr="00600663">
        <w:t xml:space="preserve">. Los valores </w:t>
      </w:r>
      <w:r w:rsidR="00495BAD" w:rsidRPr="00600663">
        <w:t xml:space="preserve">“Scale Parameter”, </w:t>
      </w:r>
      <w:r w:rsidR="00C75A62" w:rsidRPr="00600663">
        <w:t>“</w:t>
      </w:r>
      <w:r w:rsidR="00B76AE5">
        <w:t>S</w:t>
      </w:r>
      <w:r w:rsidR="00C75A62" w:rsidRPr="00600663">
        <w:t>hape” y “</w:t>
      </w:r>
      <w:r w:rsidR="00B76AE5">
        <w:t>C</w:t>
      </w:r>
      <w:r w:rsidR="00C75A62" w:rsidRPr="00600663">
        <w:t xml:space="preserve">ompactness” fueron </w:t>
      </w:r>
      <w:r w:rsidR="00495BAD" w:rsidRPr="00600663">
        <w:t xml:space="preserve">10, </w:t>
      </w:r>
      <w:r w:rsidR="00C75A62" w:rsidRPr="00600663">
        <w:t>0,1 y 0,5 respectivamente</w:t>
      </w:r>
      <w:r w:rsidR="00F36FB4">
        <w:t>, al ser los que mejores resultados revertían.</w:t>
      </w:r>
    </w:p>
    <w:p w14:paraId="09BE4A30" w14:textId="77777777" w:rsidR="00116494" w:rsidRDefault="00F811EF" w:rsidP="00687C3F">
      <w:r>
        <w:t>Se designaron como “copa</w:t>
      </w:r>
      <w:r w:rsidR="00C75A62" w:rsidRPr="00600663">
        <w:t>” aquellos objetos que presentaban un NDVI (</w:t>
      </w:r>
      <w:r w:rsidR="001A67C6" w:rsidRPr="00600663">
        <w:t>siglas</w:t>
      </w:r>
      <w:r w:rsidR="00C75A62" w:rsidRPr="00600663">
        <w:t xml:space="preserve"> en inglés del Índice de Vegetación de Diferencia Normalizada) superior a 0,2 y un valor medio en el infrarrojo cercano superior a 110 </w:t>
      </w:r>
      <w:r w:rsidR="001A67C6">
        <w:t>niveles digitales</w:t>
      </w:r>
      <w:r w:rsidR="00C75A62" w:rsidRPr="00600663">
        <w:t>.</w:t>
      </w:r>
      <w:r w:rsidR="000C780E">
        <w:t xml:space="preserve"> </w:t>
      </w:r>
      <w:r w:rsidR="00B21295">
        <w:t xml:space="preserve">Estos parámetros fueron definidos tras la realización de </w:t>
      </w:r>
      <w:r w:rsidR="000C780E">
        <w:t>múltiples ensayos</w:t>
      </w:r>
      <w:r w:rsidR="00B21295">
        <w:t>.</w:t>
      </w:r>
    </w:p>
    <w:p w14:paraId="578FA13C" w14:textId="77777777" w:rsidR="0060223D" w:rsidRPr="00116494" w:rsidRDefault="0060223D" w:rsidP="00687C3F"/>
    <w:p w14:paraId="6430CA48" w14:textId="77777777" w:rsidR="00B31A5C" w:rsidRPr="00600663" w:rsidRDefault="00B31A5C" w:rsidP="00B31A5C">
      <w:pPr>
        <w:pStyle w:val="Ttulo3"/>
      </w:pPr>
      <w:r w:rsidRPr="00600663">
        <w:t>Incorporación de datos LiDAR a la Clasificación Orientada a Objetos</w:t>
      </w:r>
      <w:r w:rsidR="00B76AE5">
        <w:t xml:space="preserve"> </w:t>
      </w:r>
    </w:p>
    <w:p w14:paraId="3ECD2ADC" w14:textId="7D7D42B0" w:rsidR="00495BAD" w:rsidRPr="00600663" w:rsidRDefault="00495BAD" w:rsidP="00495BAD">
      <w:r w:rsidRPr="00600663">
        <w:t>P</w:t>
      </w:r>
      <w:r w:rsidR="00EC7B30" w:rsidRPr="00600663">
        <w:t xml:space="preserve">ara </w:t>
      </w:r>
      <w:r w:rsidR="00B76AE5">
        <w:t xml:space="preserve">la combinación de datos LiDAR con la </w:t>
      </w:r>
      <w:r w:rsidR="004062C2" w:rsidRPr="00600663">
        <w:t xml:space="preserve">Clasificación Orientada </w:t>
      </w:r>
      <w:r w:rsidR="004062C2">
        <w:t>a</w:t>
      </w:r>
      <w:r w:rsidR="004062C2" w:rsidRPr="00600663">
        <w:t xml:space="preserve"> Objetos</w:t>
      </w:r>
      <w:r w:rsidR="004062C2">
        <w:t>,</w:t>
      </w:r>
      <w:r w:rsidR="004062C2" w:rsidRPr="00600663">
        <w:t xml:space="preserve"> </w:t>
      </w:r>
      <w:r w:rsidRPr="00600663">
        <w:t xml:space="preserve">se ha empleado </w:t>
      </w:r>
      <w:r w:rsidR="006E4867">
        <w:t xml:space="preserve">también </w:t>
      </w:r>
      <w:r w:rsidR="00600663">
        <w:t xml:space="preserve">el </w:t>
      </w:r>
      <w:r w:rsidRPr="00600663">
        <w:t xml:space="preserve">algoritmo </w:t>
      </w:r>
      <w:r w:rsidR="006E4867">
        <w:t>“</w:t>
      </w:r>
      <w:r w:rsidRPr="00600663">
        <w:t xml:space="preserve">Multiresolution </w:t>
      </w:r>
      <w:r w:rsidR="006E4867">
        <w:t>S</w:t>
      </w:r>
      <w:r w:rsidRPr="00600663">
        <w:t>egmentation</w:t>
      </w:r>
      <w:r w:rsidR="006E4867">
        <w:t>”</w:t>
      </w:r>
      <w:r w:rsidRPr="00600663">
        <w:t xml:space="preserve"> del software eCognition Developer v.8.0</w:t>
      </w:r>
      <w:r w:rsidR="00A2361B" w:rsidRPr="00A2361B">
        <w:t>.</w:t>
      </w:r>
      <w:r w:rsidR="00217E93">
        <w:t>, s</w:t>
      </w:r>
      <w:r w:rsidRPr="00600663">
        <w:t>iendo los parámetros de entrada de</w:t>
      </w:r>
      <w:r w:rsidR="00944D35" w:rsidRPr="00600663">
        <w:t xml:space="preserve"> </w:t>
      </w:r>
      <w:r w:rsidR="00600663">
        <w:t>dicho</w:t>
      </w:r>
      <w:r w:rsidR="00944D35" w:rsidRPr="00600663">
        <w:t xml:space="preserve"> algoritmo los recogidos en el epígrafe anterior.</w:t>
      </w:r>
    </w:p>
    <w:p w14:paraId="65D0074B" w14:textId="076E2A15" w:rsidR="00F811EF" w:rsidRDefault="00944D35" w:rsidP="00EC7B30">
      <w:r w:rsidRPr="00600663">
        <w:t>En este proceso se incorporaron los modelos digitales de superficie y elevaciones</w:t>
      </w:r>
      <w:r w:rsidR="00600663">
        <w:t xml:space="preserve">, </w:t>
      </w:r>
      <w:r w:rsidRPr="00600663">
        <w:t xml:space="preserve">previamente calculados con </w:t>
      </w:r>
      <w:r w:rsidRPr="00A2361B">
        <w:t>Arc</w:t>
      </w:r>
      <w:r w:rsidR="00217E93">
        <w:t>GIS</w:t>
      </w:r>
      <w:r w:rsidRPr="00A2361B">
        <w:t xml:space="preserve"> 10.</w:t>
      </w:r>
      <w:r w:rsidR="00A2361B" w:rsidRPr="00A2361B">
        <w:t>5</w:t>
      </w:r>
      <w:r w:rsidR="006E4867">
        <w:t>,</w:t>
      </w:r>
      <w:r w:rsidR="00A2361B">
        <w:rPr>
          <w:color w:val="FF0000"/>
        </w:rPr>
        <w:t xml:space="preserve"> </w:t>
      </w:r>
      <w:r w:rsidR="00600663">
        <w:t>y</w:t>
      </w:r>
      <w:r w:rsidRPr="00600663">
        <w:t xml:space="preserve"> de los que se obtuvo el modelo digital de superficie normalizado</w:t>
      </w:r>
      <w:r w:rsidR="00B76AE5">
        <w:t xml:space="preserve"> (nDSM</w:t>
      </w:r>
      <w:r w:rsidR="006E4867">
        <w:t>,</w:t>
      </w:r>
      <w:r w:rsidR="00B76AE5">
        <w:t xml:space="preserve"> por sus siglas en inglés)</w:t>
      </w:r>
      <w:r w:rsidR="00600663">
        <w:t>.</w:t>
      </w:r>
      <w:r w:rsidRPr="00600663">
        <w:t xml:space="preserve"> </w:t>
      </w:r>
      <w:r w:rsidR="00295BB5">
        <w:t xml:space="preserve">Se </w:t>
      </w:r>
      <w:r w:rsidRPr="00600663">
        <w:t>considera</w:t>
      </w:r>
      <w:r w:rsidR="00295BB5">
        <w:t>ron</w:t>
      </w:r>
      <w:r w:rsidRPr="00600663">
        <w:t xml:space="preserve"> como </w:t>
      </w:r>
      <w:r w:rsidR="00CE2FB3">
        <w:t>“copa</w:t>
      </w:r>
      <w:r w:rsidR="00CE2FB3" w:rsidRPr="00600663">
        <w:t xml:space="preserve">” </w:t>
      </w:r>
      <w:r w:rsidRPr="00600663">
        <w:t>los objetos que presentaban</w:t>
      </w:r>
      <w:r w:rsidR="00295BB5">
        <w:t xml:space="preserve"> </w:t>
      </w:r>
      <w:r w:rsidR="00B76AE5">
        <w:t xml:space="preserve">un valor en el nDSM superior a </w:t>
      </w:r>
      <w:r w:rsidR="00295BB5">
        <w:t xml:space="preserve">2 </w:t>
      </w:r>
      <w:r w:rsidR="00B76AE5">
        <w:t>m</w:t>
      </w:r>
      <w:r w:rsidR="00217E93">
        <w:t>, asumiendo que todos los pies presentes en el área de estudio superan este umbral.</w:t>
      </w:r>
      <w:r w:rsidR="00FF70B0">
        <w:t xml:space="preserve"> </w:t>
      </w:r>
      <w:r w:rsidR="00B21295">
        <w:t>L</w:t>
      </w:r>
      <w:r w:rsidR="008F180E">
        <w:t>os</w:t>
      </w:r>
      <w:r w:rsidR="00F811EF">
        <w:t xml:space="preserve"> huecos del interior de las copas </w:t>
      </w:r>
      <w:r w:rsidR="008F180E">
        <w:t>fueron incluidos</w:t>
      </w:r>
      <w:r w:rsidR="00F811EF">
        <w:t xml:space="preserve"> en la clase “copa”.</w:t>
      </w:r>
    </w:p>
    <w:p w14:paraId="3C295F34" w14:textId="77777777" w:rsidR="0060223D" w:rsidRDefault="0060223D" w:rsidP="00EC7B30">
      <w:bookmarkStart w:id="0" w:name="_GoBack"/>
      <w:bookmarkEnd w:id="0"/>
    </w:p>
    <w:p w14:paraId="78B4B557" w14:textId="77777777" w:rsidR="00276CF7" w:rsidRPr="00600663" w:rsidRDefault="00276CF7" w:rsidP="00276CF7">
      <w:pPr>
        <w:pStyle w:val="Ttulo3"/>
      </w:pPr>
      <w:r w:rsidRPr="00600663">
        <w:t xml:space="preserve">Evaluación de la </w:t>
      </w:r>
      <w:r w:rsidR="001A67C6">
        <w:t>Exactitud</w:t>
      </w:r>
    </w:p>
    <w:p w14:paraId="086C5C20" w14:textId="0AD08FF8" w:rsidR="006A2709" w:rsidRDefault="005F6CFE" w:rsidP="007276E2">
      <w:r w:rsidRPr="00600663">
        <w:t xml:space="preserve">La evaluación de la </w:t>
      </w:r>
      <w:r w:rsidR="002E283E">
        <w:t>exactitud</w:t>
      </w:r>
      <w:r w:rsidRPr="00600663">
        <w:t xml:space="preserve"> permite determinar </w:t>
      </w:r>
      <w:r w:rsidR="00C54A9D" w:rsidRPr="00600663">
        <w:t>el grado de ajuste entre el resultado</w:t>
      </w:r>
      <w:r w:rsidRPr="00600663">
        <w:t xml:space="preserve"> </w:t>
      </w:r>
      <w:r w:rsidR="00C54A9D" w:rsidRPr="00600663">
        <w:t xml:space="preserve">de la </w:t>
      </w:r>
      <w:r w:rsidRPr="00600663">
        <w:t>clasifica</w:t>
      </w:r>
      <w:r w:rsidR="00C54A9D" w:rsidRPr="00600663">
        <w:t>ción</w:t>
      </w:r>
      <w:r w:rsidRPr="00600663">
        <w:t xml:space="preserve"> </w:t>
      </w:r>
      <w:r w:rsidR="00C54A9D" w:rsidRPr="00600663">
        <w:t>y</w:t>
      </w:r>
      <w:r w:rsidRPr="00600663">
        <w:t xml:space="preserve"> </w:t>
      </w:r>
      <w:r w:rsidR="00CE2FB3">
        <w:t xml:space="preserve">la </w:t>
      </w:r>
      <w:r w:rsidRPr="00600663">
        <w:t>“Verdad Terreno”</w:t>
      </w:r>
      <w:r w:rsidR="00C54A9D" w:rsidRPr="00600663">
        <w:t>.</w:t>
      </w:r>
      <w:r w:rsidR="00FF70B0">
        <w:t xml:space="preserve"> </w:t>
      </w:r>
      <w:r w:rsidR="00C54A9D" w:rsidRPr="00600663">
        <w:t>Para dicha evaluación se construyeron las matrices de confusión</w:t>
      </w:r>
      <w:r w:rsidR="006A2709">
        <w:t xml:space="preserve"> (</w:t>
      </w:r>
      <w:r w:rsidR="00F811EF">
        <w:t>T</w:t>
      </w:r>
      <w:r w:rsidR="006A2709">
        <w:t>abla 1, 2 y 3)</w:t>
      </w:r>
      <w:r w:rsidR="00C54A9D" w:rsidRPr="00600663">
        <w:t xml:space="preserve">, que relacionan los resultados obtenidos </w:t>
      </w:r>
      <w:r w:rsidR="00295BB5">
        <w:t>en</w:t>
      </w:r>
      <w:r w:rsidR="00C54A9D" w:rsidRPr="00600663">
        <w:t xml:space="preserve"> las clasificaciones contempladas con los valores de referencia</w:t>
      </w:r>
      <w:r w:rsidR="007276E2" w:rsidRPr="00600663">
        <w:t>.</w:t>
      </w:r>
      <w:r w:rsidR="006A2709">
        <w:t xml:space="preserve"> </w:t>
      </w:r>
    </w:p>
    <w:p w14:paraId="5360B783" w14:textId="77777777" w:rsidR="00FF70B0" w:rsidRPr="00600663" w:rsidRDefault="00FF70B0" w:rsidP="00E62160">
      <w:r>
        <w:t>A partir de dichas matrices se calcularon l</w:t>
      </w:r>
      <w:r w:rsidRPr="00600663">
        <w:t xml:space="preserve">a </w:t>
      </w:r>
      <w:r>
        <w:t>exactitud</w:t>
      </w:r>
      <w:r w:rsidRPr="00600663">
        <w:t xml:space="preserve"> global, de</w:t>
      </w:r>
      <w:r>
        <w:t>l</w:t>
      </w:r>
      <w:r w:rsidRPr="00600663">
        <w:t xml:space="preserve"> usuario y de</w:t>
      </w:r>
      <w:r>
        <w:t>l</w:t>
      </w:r>
      <w:r w:rsidRPr="00600663">
        <w:t xml:space="preserve"> productor</w:t>
      </w:r>
      <w:r>
        <w:t>. La exactitud</w:t>
      </w:r>
      <w:r w:rsidRPr="00600663">
        <w:t xml:space="preserve"> </w:t>
      </w:r>
      <w:r>
        <w:t>global hace referencia a la superficie clasificada correctamente respecto al total de la superficie clasificada. La exactitud</w:t>
      </w:r>
      <w:r w:rsidRPr="00600663">
        <w:t xml:space="preserve"> </w:t>
      </w:r>
      <w:r>
        <w:t>del usuario o error de comisión indica las áreas clasificadas en una clase a la que realmente no pertenecen; su valor se obtiene al dividir el área clasificada correctamente en una clase por la superficie total clasificada de la misma. La exactitud del productor</w:t>
      </w:r>
      <w:r w:rsidRPr="006A2709">
        <w:t xml:space="preserve"> </w:t>
      </w:r>
      <w:r>
        <w:t>o error de omisión hace referencia a las áreas que, correspondiendo a una determinada clase, no fueron clasificadas como tal; su valor se obtiene al dividir el área clasificada correctamente en una clase por la superficie total de referencia de la misma.</w:t>
      </w:r>
    </w:p>
    <w:p w14:paraId="4016FA03" w14:textId="4F51794F" w:rsidR="006A2709" w:rsidRPr="0047493C" w:rsidRDefault="006A2709" w:rsidP="007276E2">
      <w:pPr>
        <w:rPr>
          <w:b/>
        </w:rPr>
      </w:pPr>
    </w:p>
    <w:p w14:paraId="4C821C62" w14:textId="77777777" w:rsidR="007276E2" w:rsidRPr="00600663" w:rsidRDefault="007276E2" w:rsidP="00E62160">
      <w:pPr>
        <w:jc w:val="center"/>
        <w:rPr>
          <w:sz w:val="18"/>
        </w:rPr>
      </w:pPr>
      <w:r w:rsidRPr="00600663">
        <w:rPr>
          <w:b/>
          <w:sz w:val="18"/>
        </w:rPr>
        <w:t xml:space="preserve">Tabla 1. </w:t>
      </w:r>
      <w:r w:rsidRPr="00600663">
        <w:rPr>
          <w:sz w:val="18"/>
        </w:rPr>
        <w:t xml:space="preserve">Matriz de confusión </w:t>
      </w:r>
      <w:r w:rsidR="00B775B9">
        <w:rPr>
          <w:sz w:val="18"/>
        </w:rPr>
        <w:t xml:space="preserve">de la clasificación con datos </w:t>
      </w:r>
      <w:r w:rsidRPr="00600663">
        <w:rPr>
          <w:sz w:val="18"/>
        </w:rPr>
        <w:t>LiDAR.</w:t>
      </w:r>
    </w:p>
    <w:tbl>
      <w:tblPr>
        <w:tblStyle w:val="Tablaconcuadrcula"/>
        <w:tblW w:w="5000" w:type="pct"/>
        <w:jc w:val="center"/>
        <w:tblLayout w:type="fixed"/>
        <w:tblLook w:val="04A0" w:firstRow="1" w:lastRow="0" w:firstColumn="1" w:lastColumn="0" w:noHBand="0" w:noVBand="1"/>
      </w:tblPr>
      <w:tblGrid>
        <w:gridCol w:w="1769"/>
        <w:gridCol w:w="692"/>
        <w:gridCol w:w="1083"/>
        <w:gridCol w:w="853"/>
        <w:gridCol w:w="1413"/>
        <w:gridCol w:w="1777"/>
        <w:gridCol w:w="2041"/>
      </w:tblGrid>
      <w:tr w:rsidR="00A0686F" w:rsidRPr="00F811EF" w14:paraId="3E8DE83D" w14:textId="77777777" w:rsidTr="0047493C">
        <w:trPr>
          <w:trHeight w:val="256"/>
          <w:jc w:val="center"/>
        </w:trPr>
        <w:tc>
          <w:tcPr>
            <w:tcW w:w="918" w:type="pct"/>
            <w:vMerge w:val="restart"/>
            <w:tcBorders>
              <w:top w:val="nil"/>
              <w:left w:val="nil"/>
            </w:tcBorders>
            <w:vAlign w:val="center"/>
          </w:tcPr>
          <w:p w14:paraId="3687A688" w14:textId="25CCA66F" w:rsidR="007276E2" w:rsidRPr="00F811EF" w:rsidRDefault="007276E2" w:rsidP="0047493C">
            <w:pPr>
              <w:spacing w:after="0"/>
              <w:jc w:val="center"/>
              <w:rPr>
                <w:rFonts w:asciiTheme="minorHAnsi" w:hAnsiTheme="minorHAnsi" w:cstheme="minorHAnsi"/>
                <w:i/>
                <w:sz w:val="20"/>
              </w:rPr>
            </w:pPr>
          </w:p>
        </w:tc>
        <w:tc>
          <w:tcPr>
            <w:tcW w:w="1364" w:type="pct"/>
            <w:gridSpan w:val="3"/>
            <w:vAlign w:val="center"/>
          </w:tcPr>
          <w:p w14:paraId="0D0C7B76" w14:textId="77777777" w:rsidR="007276E2" w:rsidRPr="00F811EF" w:rsidRDefault="00F811EF" w:rsidP="0047493C">
            <w:pPr>
              <w:spacing w:after="0"/>
              <w:jc w:val="center"/>
              <w:rPr>
                <w:rFonts w:asciiTheme="minorHAnsi" w:hAnsiTheme="minorHAnsi" w:cstheme="minorHAnsi"/>
                <w:i/>
                <w:sz w:val="20"/>
              </w:rPr>
            </w:pPr>
            <w:r w:rsidRPr="00F811EF">
              <w:rPr>
                <w:rFonts w:asciiTheme="minorHAnsi" w:hAnsiTheme="minorHAnsi" w:cstheme="minorHAnsi"/>
                <w:i/>
                <w:sz w:val="20"/>
              </w:rPr>
              <w:t>PUNTOS</w:t>
            </w:r>
            <w:r w:rsidR="007276E2" w:rsidRPr="00F811EF">
              <w:rPr>
                <w:rFonts w:asciiTheme="minorHAnsi" w:hAnsiTheme="minorHAnsi" w:cstheme="minorHAnsi"/>
                <w:i/>
                <w:sz w:val="20"/>
              </w:rPr>
              <w:t xml:space="preserve"> DE REFERENCIA</w:t>
            </w:r>
          </w:p>
        </w:tc>
        <w:tc>
          <w:tcPr>
            <w:tcW w:w="734" w:type="pct"/>
            <w:vMerge w:val="restart"/>
            <w:vAlign w:val="center"/>
          </w:tcPr>
          <w:p w14:paraId="32E91F5B" w14:textId="77777777" w:rsidR="007276E2" w:rsidRPr="00F811EF" w:rsidRDefault="007276E2" w:rsidP="0047493C">
            <w:pPr>
              <w:spacing w:after="0"/>
              <w:jc w:val="center"/>
              <w:rPr>
                <w:rFonts w:asciiTheme="minorHAnsi" w:hAnsiTheme="minorHAnsi" w:cstheme="minorHAnsi"/>
                <w:i/>
                <w:sz w:val="20"/>
              </w:rPr>
            </w:pPr>
            <w:r w:rsidRPr="00F811EF">
              <w:rPr>
                <w:rFonts w:asciiTheme="minorHAnsi" w:hAnsiTheme="minorHAnsi" w:cstheme="minorHAnsi"/>
                <w:i/>
                <w:sz w:val="20"/>
              </w:rPr>
              <w:t>PIXELES CLASIFICADOS</w:t>
            </w:r>
          </w:p>
        </w:tc>
        <w:tc>
          <w:tcPr>
            <w:tcW w:w="923" w:type="pct"/>
            <w:vMerge w:val="restart"/>
            <w:vAlign w:val="center"/>
          </w:tcPr>
          <w:p w14:paraId="3464B675" w14:textId="77777777" w:rsidR="007276E2" w:rsidRPr="00F811EF" w:rsidRDefault="007276E2" w:rsidP="0047493C">
            <w:pPr>
              <w:spacing w:after="0"/>
              <w:jc w:val="center"/>
              <w:rPr>
                <w:rFonts w:asciiTheme="minorHAnsi" w:hAnsiTheme="minorHAnsi" w:cstheme="minorHAnsi"/>
                <w:i/>
                <w:sz w:val="20"/>
              </w:rPr>
            </w:pPr>
            <w:r w:rsidRPr="00F811EF">
              <w:rPr>
                <w:rFonts w:asciiTheme="minorHAnsi" w:hAnsiTheme="minorHAnsi" w:cstheme="minorHAnsi"/>
                <w:i/>
                <w:sz w:val="20"/>
              </w:rPr>
              <w:t>ÁREA CLASIFICADA</w:t>
            </w:r>
            <w:r w:rsidR="00A30C58" w:rsidRPr="00F811EF">
              <w:rPr>
                <w:rFonts w:asciiTheme="minorHAnsi" w:hAnsiTheme="minorHAnsi" w:cstheme="minorHAnsi"/>
                <w:i/>
                <w:sz w:val="20"/>
              </w:rPr>
              <w:t xml:space="preserve"> (ha)</w:t>
            </w:r>
          </w:p>
        </w:tc>
        <w:tc>
          <w:tcPr>
            <w:tcW w:w="1060" w:type="pct"/>
            <w:vMerge w:val="restart"/>
            <w:vAlign w:val="center"/>
          </w:tcPr>
          <w:p w14:paraId="16B87C86" w14:textId="77777777" w:rsidR="007276E2" w:rsidRPr="00F811EF" w:rsidRDefault="007276E2" w:rsidP="0047493C">
            <w:pPr>
              <w:spacing w:after="0"/>
              <w:jc w:val="center"/>
              <w:rPr>
                <w:rFonts w:asciiTheme="minorHAnsi" w:hAnsiTheme="minorHAnsi" w:cstheme="minorHAnsi"/>
                <w:i/>
                <w:sz w:val="20"/>
              </w:rPr>
            </w:pPr>
            <w:r w:rsidRPr="00F811EF">
              <w:rPr>
                <w:rFonts w:asciiTheme="minorHAnsi" w:hAnsiTheme="minorHAnsi" w:cstheme="minorHAnsi"/>
                <w:i/>
                <w:sz w:val="20"/>
              </w:rPr>
              <w:t>PESO DE LA CLASE</w:t>
            </w:r>
            <w:r w:rsidR="002E283E" w:rsidRPr="00F811EF">
              <w:rPr>
                <w:rFonts w:asciiTheme="minorHAnsi" w:hAnsiTheme="minorHAnsi" w:cstheme="minorHAnsi"/>
                <w:i/>
                <w:sz w:val="20"/>
              </w:rPr>
              <w:t xml:space="preserve"> EN LA CLASIFICACIÓN</w:t>
            </w:r>
          </w:p>
        </w:tc>
      </w:tr>
      <w:tr w:rsidR="00A0686F" w:rsidRPr="00F811EF" w14:paraId="0B678367" w14:textId="77777777" w:rsidTr="0047493C">
        <w:trPr>
          <w:jc w:val="center"/>
        </w:trPr>
        <w:tc>
          <w:tcPr>
            <w:tcW w:w="918" w:type="pct"/>
            <w:vMerge/>
            <w:tcBorders>
              <w:left w:val="nil"/>
            </w:tcBorders>
            <w:vAlign w:val="center"/>
          </w:tcPr>
          <w:p w14:paraId="6513318B" w14:textId="77777777" w:rsidR="007276E2" w:rsidRPr="00F811EF" w:rsidRDefault="007276E2" w:rsidP="0047493C">
            <w:pPr>
              <w:spacing w:after="0"/>
              <w:rPr>
                <w:rFonts w:asciiTheme="minorHAnsi" w:hAnsiTheme="minorHAnsi" w:cstheme="minorHAnsi"/>
                <w:sz w:val="20"/>
              </w:rPr>
            </w:pPr>
          </w:p>
        </w:tc>
        <w:tc>
          <w:tcPr>
            <w:tcW w:w="359" w:type="pct"/>
            <w:vAlign w:val="center"/>
          </w:tcPr>
          <w:p w14:paraId="2C6082FB" w14:textId="77777777" w:rsidR="007276E2" w:rsidRPr="00F811EF" w:rsidRDefault="007276E2" w:rsidP="0047493C">
            <w:pPr>
              <w:spacing w:after="0"/>
              <w:jc w:val="center"/>
              <w:rPr>
                <w:rFonts w:asciiTheme="minorHAnsi" w:hAnsiTheme="minorHAnsi" w:cstheme="minorHAnsi"/>
                <w:i/>
                <w:sz w:val="20"/>
              </w:rPr>
            </w:pPr>
            <w:r w:rsidRPr="00F811EF">
              <w:rPr>
                <w:rFonts w:asciiTheme="minorHAnsi" w:hAnsiTheme="minorHAnsi" w:cstheme="minorHAnsi"/>
                <w:i/>
                <w:sz w:val="20"/>
              </w:rPr>
              <w:t>COPA</w:t>
            </w:r>
          </w:p>
        </w:tc>
        <w:tc>
          <w:tcPr>
            <w:tcW w:w="562" w:type="pct"/>
            <w:vAlign w:val="center"/>
          </w:tcPr>
          <w:p w14:paraId="0D8D96BA" w14:textId="77777777" w:rsidR="007276E2" w:rsidRPr="00F811EF" w:rsidRDefault="007276E2" w:rsidP="0047493C">
            <w:pPr>
              <w:spacing w:after="0"/>
              <w:jc w:val="center"/>
              <w:rPr>
                <w:rFonts w:asciiTheme="minorHAnsi" w:hAnsiTheme="minorHAnsi" w:cstheme="minorHAnsi"/>
                <w:i/>
                <w:sz w:val="20"/>
              </w:rPr>
            </w:pPr>
            <w:r w:rsidRPr="00F811EF">
              <w:rPr>
                <w:rFonts w:asciiTheme="minorHAnsi" w:hAnsiTheme="minorHAnsi" w:cstheme="minorHAnsi"/>
                <w:i/>
                <w:sz w:val="20"/>
              </w:rPr>
              <w:t>DISTINTO DE COPA</w:t>
            </w:r>
          </w:p>
        </w:tc>
        <w:tc>
          <w:tcPr>
            <w:tcW w:w="443" w:type="pct"/>
            <w:vAlign w:val="center"/>
          </w:tcPr>
          <w:p w14:paraId="0BDC1240" w14:textId="3719C3F2" w:rsidR="007276E2" w:rsidRPr="00F811EF" w:rsidRDefault="007276E2" w:rsidP="0047493C">
            <w:pPr>
              <w:spacing w:after="0"/>
              <w:jc w:val="center"/>
              <w:rPr>
                <w:rFonts w:asciiTheme="minorHAnsi" w:hAnsiTheme="minorHAnsi" w:cstheme="minorHAnsi"/>
                <w:i/>
                <w:sz w:val="20"/>
              </w:rPr>
            </w:pPr>
            <w:r w:rsidRPr="00F811EF">
              <w:rPr>
                <w:rFonts w:asciiTheme="minorHAnsi" w:hAnsiTheme="minorHAnsi" w:cstheme="minorHAnsi"/>
                <w:i/>
                <w:sz w:val="20"/>
              </w:rPr>
              <w:t xml:space="preserve">TOTAL </w:t>
            </w:r>
          </w:p>
        </w:tc>
        <w:tc>
          <w:tcPr>
            <w:tcW w:w="734" w:type="pct"/>
            <w:vMerge/>
            <w:vAlign w:val="center"/>
          </w:tcPr>
          <w:p w14:paraId="14B4C8F7" w14:textId="77777777" w:rsidR="007276E2" w:rsidRPr="00F811EF" w:rsidRDefault="007276E2" w:rsidP="0047493C">
            <w:pPr>
              <w:spacing w:after="0"/>
              <w:rPr>
                <w:rFonts w:asciiTheme="minorHAnsi" w:hAnsiTheme="minorHAnsi" w:cstheme="minorHAnsi"/>
                <w:sz w:val="20"/>
              </w:rPr>
            </w:pPr>
          </w:p>
        </w:tc>
        <w:tc>
          <w:tcPr>
            <w:tcW w:w="923" w:type="pct"/>
            <w:vMerge/>
            <w:vAlign w:val="center"/>
          </w:tcPr>
          <w:p w14:paraId="768E698B" w14:textId="77777777" w:rsidR="007276E2" w:rsidRPr="00F811EF" w:rsidRDefault="007276E2" w:rsidP="0047493C">
            <w:pPr>
              <w:spacing w:after="0"/>
              <w:rPr>
                <w:rFonts w:asciiTheme="minorHAnsi" w:hAnsiTheme="minorHAnsi" w:cstheme="minorHAnsi"/>
                <w:sz w:val="20"/>
              </w:rPr>
            </w:pPr>
          </w:p>
        </w:tc>
        <w:tc>
          <w:tcPr>
            <w:tcW w:w="1060" w:type="pct"/>
            <w:vMerge/>
            <w:vAlign w:val="center"/>
          </w:tcPr>
          <w:p w14:paraId="5073F414" w14:textId="77777777" w:rsidR="007276E2" w:rsidRPr="00F811EF" w:rsidRDefault="007276E2" w:rsidP="0047493C">
            <w:pPr>
              <w:spacing w:after="0"/>
              <w:rPr>
                <w:rFonts w:asciiTheme="minorHAnsi" w:hAnsiTheme="minorHAnsi" w:cstheme="minorHAnsi"/>
                <w:sz w:val="20"/>
              </w:rPr>
            </w:pPr>
          </w:p>
        </w:tc>
      </w:tr>
      <w:tr w:rsidR="00A0686F" w:rsidRPr="00F811EF" w14:paraId="0A1A7535" w14:textId="77777777" w:rsidTr="0047493C">
        <w:trPr>
          <w:jc w:val="center"/>
        </w:trPr>
        <w:tc>
          <w:tcPr>
            <w:tcW w:w="918" w:type="pct"/>
            <w:vAlign w:val="center"/>
          </w:tcPr>
          <w:p w14:paraId="1D28BB9F" w14:textId="77777777" w:rsidR="00A30C58" w:rsidRPr="00F811EF" w:rsidRDefault="00A30C58" w:rsidP="0047493C">
            <w:pPr>
              <w:spacing w:after="0"/>
              <w:rPr>
                <w:rFonts w:asciiTheme="minorHAnsi" w:hAnsiTheme="minorHAnsi" w:cstheme="minorHAnsi"/>
                <w:i/>
                <w:sz w:val="20"/>
              </w:rPr>
            </w:pPr>
            <w:r w:rsidRPr="00F811EF">
              <w:rPr>
                <w:rFonts w:asciiTheme="minorHAnsi" w:hAnsiTheme="minorHAnsi" w:cstheme="minorHAnsi"/>
                <w:i/>
                <w:sz w:val="20"/>
              </w:rPr>
              <w:t>COPA</w:t>
            </w:r>
          </w:p>
        </w:tc>
        <w:tc>
          <w:tcPr>
            <w:tcW w:w="359" w:type="pct"/>
            <w:vAlign w:val="center"/>
          </w:tcPr>
          <w:p w14:paraId="3EB274E4"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1</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037</w:t>
            </w:r>
          </w:p>
        </w:tc>
        <w:tc>
          <w:tcPr>
            <w:tcW w:w="562" w:type="pct"/>
            <w:vAlign w:val="center"/>
          </w:tcPr>
          <w:p w14:paraId="5F3B1629"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259</w:t>
            </w:r>
          </w:p>
        </w:tc>
        <w:tc>
          <w:tcPr>
            <w:tcW w:w="443" w:type="pct"/>
            <w:vAlign w:val="center"/>
          </w:tcPr>
          <w:p w14:paraId="78CDF9BC"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1</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296</w:t>
            </w:r>
          </w:p>
        </w:tc>
        <w:tc>
          <w:tcPr>
            <w:tcW w:w="734" w:type="pct"/>
            <w:vAlign w:val="center"/>
          </w:tcPr>
          <w:p w14:paraId="10F28F25"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5</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062</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590</w:t>
            </w:r>
          </w:p>
        </w:tc>
        <w:tc>
          <w:tcPr>
            <w:tcW w:w="923" w:type="pct"/>
            <w:vAlign w:val="center"/>
          </w:tcPr>
          <w:p w14:paraId="446A3D02"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31,64</w:t>
            </w:r>
          </w:p>
        </w:tc>
        <w:tc>
          <w:tcPr>
            <w:tcW w:w="1060" w:type="pct"/>
            <w:vAlign w:val="center"/>
          </w:tcPr>
          <w:p w14:paraId="3AB342E7"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0,19</w:t>
            </w:r>
          </w:p>
        </w:tc>
      </w:tr>
      <w:tr w:rsidR="00A0686F" w:rsidRPr="00F811EF" w14:paraId="03CB4A49" w14:textId="77777777" w:rsidTr="0047493C">
        <w:trPr>
          <w:jc w:val="center"/>
        </w:trPr>
        <w:tc>
          <w:tcPr>
            <w:tcW w:w="918" w:type="pct"/>
            <w:vAlign w:val="center"/>
          </w:tcPr>
          <w:p w14:paraId="340F2B33" w14:textId="77777777" w:rsidR="00A30C58" w:rsidRPr="00F811EF" w:rsidRDefault="00A30C58" w:rsidP="0047493C">
            <w:pPr>
              <w:spacing w:after="0"/>
              <w:rPr>
                <w:rFonts w:asciiTheme="minorHAnsi" w:hAnsiTheme="minorHAnsi" w:cstheme="minorHAnsi"/>
                <w:i/>
                <w:sz w:val="20"/>
              </w:rPr>
            </w:pPr>
            <w:r w:rsidRPr="00F811EF">
              <w:rPr>
                <w:rFonts w:asciiTheme="minorHAnsi" w:hAnsiTheme="minorHAnsi" w:cstheme="minorHAnsi"/>
                <w:i/>
                <w:sz w:val="20"/>
              </w:rPr>
              <w:t>DISTINTO DE COPA</w:t>
            </w:r>
          </w:p>
        </w:tc>
        <w:tc>
          <w:tcPr>
            <w:tcW w:w="359" w:type="pct"/>
            <w:vAlign w:val="center"/>
          </w:tcPr>
          <w:p w14:paraId="44F91F2A"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152</w:t>
            </w:r>
          </w:p>
        </w:tc>
        <w:tc>
          <w:tcPr>
            <w:tcW w:w="562" w:type="pct"/>
            <w:vAlign w:val="center"/>
          </w:tcPr>
          <w:p w14:paraId="242D6DB8"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5</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052</w:t>
            </w:r>
          </w:p>
        </w:tc>
        <w:tc>
          <w:tcPr>
            <w:tcW w:w="443" w:type="pct"/>
            <w:vAlign w:val="center"/>
          </w:tcPr>
          <w:p w14:paraId="7DD6EF0D"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5</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204</w:t>
            </w:r>
          </w:p>
        </w:tc>
        <w:tc>
          <w:tcPr>
            <w:tcW w:w="734" w:type="pct"/>
            <w:vAlign w:val="center"/>
          </w:tcPr>
          <w:p w14:paraId="399DC34E"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20</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916</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658</w:t>
            </w:r>
          </w:p>
        </w:tc>
        <w:tc>
          <w:tcPr>
            <w:tcW w:w="923" w:type="pct"/>
            <w:vAlign w:val="center"/>
          </w:tcPr>
          <w:p w14:paraId="745A4B4B"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130,73</w:t>
            </w:r>
          </w:p>
        </w:tc>
        <w:tc>
          <w:tcPr>
            <w:tcW w:w="1060" w:type="pct"/>
            <w:vAlign w:val="center"/>
          </w:tcPr>
          <w:p w14:paraId="470772C8"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0,81</w:t>
            </w:r>
          </w:p>
        </w:tc>
      </w:tr>
      <w:tr w:rsidR="00A0686F" w:rsidRPr="00F811EF" w14:paraId="145FF6E1" w14:textId="77777777" w:rsidTr="0047493C">
        <w:trPr>
          <w:jc w:val="center"/>
        </w:trPr>
        <w:tc>
          <w:tcPr>
            <w:tcW w:w="918" w:type="pct"/>
            <w:vAlign w:val="center"/>
          </w:tcPr>
          <w:p w14:paraId="28ED8E04" w14:textId="77777777" w:rsidR="00A30C58" w:rsidRPr="00F811EF" w:rsidRDefault="00A30C58" w:rsidP="0047493C">
            <w:pPr>
              <w:spacing w:after="0"/>
              <w:rPr>
                <w:rFonts w:asciiTheme="minorHAnsi" w:hAnsiTheme="minorHAnsi" w:cstheme="minorHAnsi"/>
                <w:i/>
                <w:sz w:val="20"/>
              </w:rPr>
            </w:pPr>
            <w:r w:rsidRPr="00F811EF">
              <w:rPr>
                <w:rFonts w:asciiTheme="minorHAnsi" w:hAnsiTheme="minorHAnsi" w:cstheme="minorHAnsi"/>
                <w:i/>
                <w:sz w:val="20"/>
              </w:rPr>
              <w:t xml:space="preserve">TOTAL </w:t>
            </w:r>
          </w:p>
        </w:tc>
        <w:tc>
          <w:tcPr>
            <w:tcW w:w="359" w:type="pct"/>
            <w:vAlign w:val="center"/>
          </w:tcPr>
          <w:p w14:paraId="3C6DEB79"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1</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189</w:t>
            </w:r>
          </w:p>
        </w:tc>
        <w:tc>
          <w:tcPr>
            <w:tcW w:w="562" w:type="pct"/>
            <w:vAlign w:val="center"/>
          </w:tcPr>
          <w:p w14:paraId="5FEF4763"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5</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311</w:t>
            </w:r>
          </w:p>
        </w:tc>
        <w:tc>
          <w:tcPr>
            <w:tcW w:w="443" w:type="pct"/>
            <w:vAlign w:val="center"/>
          </w:tcPr>
          <w:p w14:paraId="79929746"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6</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500</w:t>
            </w:r>
          </w:p>
        </w:tc>
        <w:tc>
          <w:tcPr>
            <w:tcW w:w="734" w:type="pct"/>
            <w:vAlign w:val="center"/>
          </w:tcPr>
          <w:p w14:paraId="07C2515E"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25</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979</w:t>
            </w:r>
            <w:r w:rsidR="00CE0D5A" w:rsidRPr="00F811EF">
              <w:rPr>
                <w:rFonts w:asciiTheme="minorHAnsi" w:hAnsiTheme="minorHAnsi" w:cstheme="minorHAnsi"/>
                <w:sz w:val="20"/>
                <w:szCs w:val="20"/>
              </w:rPr>
              <w:t>.</w:t>
            </w:r>
            <w:r w:rsidRPr="00F811EF">
              <w:rPr>
                <w:rFonts w:asciiTheme="minorHAnsi" w:hAnsiTheme="minorHAnsi" w:cstheme="minorHAnsi"/>
                <w:sz w:val="20"/>
                <w:szCs w:val="20"/>
              </w:rPr>
              <w:t>248</w:t>
            </w:r>
          </w:p>
        </w:tc>
        <w:tc>
          <w:tcPr>
            <w:tcW w:w="923" w:type="pct"/>
            <w:vAlign w:val="center"/>
          </w:tcPr>
          <w:p w14:paraId="44B83D38"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162,37</w:t>
            </w:r>
          </w:p>
        </w:tc>
        <w:tc>
          <w:tcPr>
            <w:tcW w:w="1060" w:type="pct"/>
            <w:vAlign w:val="center"/>
          </w:tcPr>
          <w:p w14:paraId="6B115E6A" w14:textId="77777777" w:rsidR="00A30C58" w:rsidRPr="00F811EF" w:rsidRDefault="00A30C58" w:rsidP="0047493C">
            <w:pPr>
              <w:spacing w:after="0"/>
              <w:jc w:val="center"/>
              <w:rPr>
                <w:rFonts w:asciiTheme="minorHAnsi" w:hAnsiTheme="minorHAnsi" w:cstheme="minorHAnsi"/>
                <w:sz w:val="20"/>
                <w:szCs w:val="20"/>
              </w:rPr>
            </w:pPr>
            <w:r w:rsidRPr="00F811EF">
              <w:rPr>
                <w:rFonts w:asciiTheme="minorHAnsi" w:hAnsiTheme="minorHAnsi" w:cstheme="minorHAnsi"/>
                <w:sz w:val="20"/>
                <w:szCs w:val="20"/>
              </w:rPr>
              <w:t>1,00</w:t>
            </w:r>
          </w:p>
        </w:tc>
      </w:tr>
    </w:tbl>
    <w:p w14:paraId="408EDEA5" w14:textId="3AF52741" w:rsidR="007276E2" w:rsidRDefault="007276E2" w:rsidP="007276E2"/>
    <w:p w14:paraId="44002FAA" w14:textId="77777777" w:rsidR="007276E2" w:rsidRPr="00600663" w:rsidRDefault="007276E2" w:rsidP="007276E2">
      <w:pPr>
        <w:jc w:val="center"/>
        <w:rPr>
          <w:sz w:val="18"/>
        </w:rPr>
      </w:pPr>
      <w:r w:rsidRPr="00600663">
        <w:rPr>
          <w:b/>
          <w:sz w:val="18"/>
        </w:rPr>
        <w:t xml:space="preserve">Tabla 2. </w:t>
      </w:r>
      <w:r w:rsidRPr="00600663">
        <w:rPr>
          <w:sz w:val="18"/>
        </w:rPr>
        <w:t>Matriz de confusión</w:t>
      </w:r>
      <w:r w:rsidR="00B775B9">
        <w:rPr>
          <w:sz w:val="18"/>
        </w:rPr>
        <w:t xml:space="preserve"> de</w:t>
      </w:r>
      <w:r w:rsidRPr="00600663">
        <w:rPr>
          <w:sz w:val="18"/>
        </w:rPr>
        <w:t xml:space="preserve"> </w:t>
      </w:r>
      <w:r w:rsidR="00CE0D5A" w:rsidRPr="00600663">
        <w:rPr>
          <w:sz w:val="18"/>
        </w:rPr>
        <w:t>la Clasificación Orientada a Objetos</w:t>
      </w:r>
      <w:r w:rsidRPr="00600663">
        <w:rPr>
          <w:sz w:val="18"/>
        </w:rPr>
        <w:t>.</w:t>
      </w:r>
    </w:p>
    <w:tbl>
      <w:tblPr>
        <w:tblStyle w:val="Tablaconcuadrcula"/>
        <w:tblW w:w="5000" w:type="pct"/>
        <w:jc w:val="center"/>
        <w:tblLayout w:type="fixed"/>
        <w:tblLook w:val="04A0" w:firstRow="1" w:lastRow="0" w:firstColumn="1" w:lastColumn="0" w:noHBand="0" w:noVBand="1"/>
      </w:tblPr>
      <w:tblGrid>
        <w:gridCol w:w="1769"/>
        <w:gridCol w:w="693"/>
        <w:gridCol w:w="1082"/>
        <w:gridCol w:w="853"/>
        <w:gridCol w:w="1413"/>
        <w:gridCol w:w="1779"/>
        <w:gridCol w:w="2039"/>
      </w:tblGrid>
      <w:tr w:rsidR="000014E7" w:rsidRPr="00F811EF" w14:paraId="7BC1D7EC" w14:textId="77777777" w:rsidTr="0047493C">
        <w:trPr>
          <w:trHeight w:val="256"/>
          <w:jc w:val="center"/>
        </w:trPr>
        <w:tc>
          <w:tcPr>
            <w:tcW w:w="918" w:type="pct"/>
            <w:vMerge w:val="restart"/>
            <w:tcBorders>
              <w:top w:val="nil"/>
              <w:left w:val="nil"/>
            </w:tcBorders>
            <w:vAlign w:val="center"/>
          </w:tcPr>
          <w:p w14:paraId="563170C9" w14:textId="09D6F4EE" w:rsidR="00CE0D5A" w:rsidRPr="0047493C" w:rsidRDefault="00CE0D5A" w:rsidP="0047493C">
            <w:pPr>
              <w:spacing w:after="0"/>
              <w:jc w:val="center"/>
              <w:rPr>
                <w:rFonts w:asciiTheme="minorHAnsi" w:hAnsiTheme="minorHAnsi" w:cstheme="minorHAnsi"/>
                <w:i/>
                <w:sz w:val="20"/>
              </w:rPr>
            </w:pPr>
          </w:p>
        </w:tc>
        <w:tc>
          <w:tcPr>
            <w:tcW w:w="1365" w:type="pct"/>
            <w:gridSpan w:val="3"/>
            <w:vAlign w:val="center"/>
          </w:tcPr>
          <w:p w14:paraId="41C0BBAA" w14:textId="77777777" w:rsidR="00CE0D5A" w:rsidRPr="00F811EF" w:rsidRDefault="00F811EF" w:rsidP="0047493C">
            <w:pPr>
              <w:spacing w:after="0"/>
              <w:jc w:val="center"/>
              <w:rPr>
                <w:i/>
                <w:sz w:val="20"/>
                <w:szCs w:val="20"/>
              </w:rPr>
            </w:pPr>
            <w:r w:rsidRPr="00F811EF">
              <w:rPr>
                <w:i/>
                <w:sz w:val="20"/>
                <w:szCs w:val="20"/>
              </w:rPr>
              <w:t xml:space="preserve">PUNTOS </w:t>
            </w:r>
            <w:r w:rsidR="00CE0D5A" w:rsidRPr="00F811EF">
              <w:rPr>
                <w:i/>
                <w:sz w:val="20"/>
                <w:szCs w:val="20"/>
              </w:rPr>
              <w:t>DE REFERENCIA</w:t>
            </w:r>
          </w:p>
        </w:tc>
        <w:tc>
          <w:tcPr>
            <w:tcW w:w="734" w:type="pct"/>
            <w:vMerge w:val="restart"/>
            <w:vAlign w:val="center"/>
          </w:tcPr>
          <w:p w14:paraId="19EC5123" w14:textId="77777777" w:rsidR="00CE0D5A" w:rsidRPr="00F811EF" w:rsidRDefault="00CE0D5A" w:rsidP="0047493C">
            <w:pPr>
              <w:spacing w:after="0"/>
              <w:jc w:val="center"/>
              <w:rPr>
                <w:i/>
                <w:sz w:val="20"/>
                <w:szCs w:val="20"/>
              </w:rPr>
            </w:pPr>
            <w:r w:rsidRPr="00F811EF">
              <w:rPr>
                <w:i/>
                <w:sz w:val="20"/>
                <w:szCs w:val="20"/>
              </w:rPr>
              <w:t>PIXELES CLASIFICADOS</w:t>
            </w:r>
          </w:p>
        </w:tc>
        <w:tc>
          <w:tcPr>
            <w:tcW w:w="924" w:type="pct"/>
            <w:vMerge w:val="restart"/>
            <w:vAlign w:val="center"/>
          </w:tcPr>
          <w:p w14:paraId="19F1602B" w14:textId="77777777" w:rsidR="00CE0D5A" w:rsidRPr="00F811EF" w:rsidRDefault="00CE0D5A" w:rsidP="0047493C">
            <w:pPr>
              <w:spacing w:after="0"/>
              <w:jc w:val="center"/>
              <w:rPr>
                <w:i/>
                <w:sz w:val="20"/>
                <w:szCs w:val="20"/>
              </w:rPr>
            </w:pPr>
            <w:r w:rsidRPr="00F811EF">
              <w:rPr>
                <w:i/>
                <w:sz w:val="20"/>
                <w:szCs w:val="20"/>
              </w:rPr>
              <w:t>ÁREA CLASIFICADA (ha)</w:t>
            </w:r>
          </w:p>
        </w:tc>
        <w:tc>
          <w:tcPr>
            <w:tcW w:w="1059" w:type="pct"/>
            <w:vMerge w:val="restart"/>
            <w:vAlign w:val="center"/>
          </w:tcPr>
          <w:p w14:paraId="5C030ACA" w14:textId="77777777" w:rsidR="00CE0D5A" w:rsidRPr="00F811EF" w:rsidRDefault="002E283E" w:rsidP="0047493C">
            <w:pPr>
              <w:spacing w:after="0"/>
              <w:jc w:val="center"/>
              <w:rPr>
                <w:i/>
                <w:sz w:val="20"/>
                <w:szCs w:val="20"/>
              </w:rPr>
            </w:pPr>
            <w:r w:rsidRPr="00F811EF">
              <w:rPr>
                <w:i/>
                <w:sz w:val="20"/>
                <w:szCs w:val="20"/>
              </w:rPr>
              <w:t>PESO DE LA CLASE EN LA CLASIFICACIÓN</w:t>
            </w:r>
          </w:p>
        </w:tc>
      </w:tr>
      <w:tr w:rsidR="00CE2FB3" w:rsidRPr="00F811EF" w14:paraId="27CB3A96" w14:textId="77777777" w:rsidTr="00CE2FB3">
        <w:trPr>
          <w:jc w:val="center"/>
        </w:trPr>
        <w:tc>
          <w:tcPr>
            <w:tcW w:w="918" w:type="pct"/>
            <w:vMerge/>
            <w:tcBorders>
              <w:left w:val="nil"/>
            </w:tcBorders>
            <w:vAlign w:val="center"/>
          </w:tcPr>
          <w:p w14:paraId="56857231" w14:textId="77777777" w:rsidR="00CE0D5A" w:rsidRPr="00F811EF" w:rsidRDefault="00CE0D5A" w:rsidP="0047493C">
            <w:pPr>
              <w:spacing w:after="0"/>
              <w:rPr>
                <w:sz w:val="20"/>
                <w:szCs w:val="20"/>
              </w:rPr>
            </w:pPr>
          </w:p>
        </w:tc>
        <w:tc>
          <w:tcPr>
            <w:tcW w:w="360" w:type="pct"/>
            <w:vAlign w:val="center"/>
          </w:tcPr>
          <w:p w14:paraId="587AAC93" w14:textId="77777777" w:rsidR="00CE0D5A" w:rsidRPr="00F811EF" w:rsidRDefault="00CE0D5A" w:rsidP="0047493C">
            <w:pPr>
              <w:spacing w:after="0"/>
              <w:jc w:val="center"/>
              <w:rPr>
                <w:i/>
                <w:sz w:val="20"/>
                <w:szCs w:val="20"/>
              </w:rPr>
            </w:pPr>
            <w:r w:rsidRPr="00F811EF">
              <w:rPr>
                <w:i/>
                <w:sz w:val="20"/>
                <w:szCs w:val="20"/>
              </w:rPr>
              <w:t>COPA</w:t>
            </w:r>
          </w:p>
        </w:tc>
        <w:tc>
          <w:tcPr>
            <w:tcW w:w="562" w:type="pct"/>
            <w:vAlign w:val="center"/>
          </w:tcPr>
          <w:p w14:paraId="753B5705" w14:textId="77777777" w:rsidR="00CE0D5A" w:rsidRPr="00F811EF" w:rsidRDefault="00CE0D5A" w:rsidP="0047493C">
            <w:pPr>
              <w:spacing w:after="0"/>
              <w:jc w:val="center"/>
              <w:rPr>
                <w:i/>
                <w:sz w:val="20"/>
                <w:szCs w:val="20"/>
              </w:rPr>
            </w:pPr>
            <w:r w:rsidRPr="00F811EF">
              <w:rPr>
                <w:i/>
                <w:sz w:val="20"/>
                <w:szCs w:val="20"/>
              </w:rPr>
              <w:t>DISTINTO DE COPA</w:t>
            </w:r>
          </w:p>
        </w:tc>
        <w:tc>
          <w:tcPr>
            <w:tcW w:w="442" w:type="pct"/>
            <w:vAlign w:val="center"/>
          </w:tcPr>
          <w:p w14:paraId="00864FEF" w14:textId="167EFDBE" w:rsidR="00CE0D5A" w:rsidRPr="00F811EF" w:rsidRDefault="00CE0D5A" w:rsidP="0047493C">
            <w:pPr>
              <w:spacing w:after="0"/>
              <w:jc w:val="center"/>
              <w:rPr>
                <w:i/>
                <w:sz w:val="20"/>
                <w:szCs w:val="20"/>
              </w:rPr>
            </w:pPr>
            <w:r w:rsidRPr="00F811EF">
              <w:rPr>
                <w:i/>
                <w:sz w:val="20"/>
                <w:szCs w:val="20"/>
              </w:rPr>
              <w:t xml:space="preserve">TOTAL </w:t>
            </w:r>
          </w:p>
        </w:tc>
        <w:tc>
          <w:tcPr>
            <w:tcW w:w="734" w:type="pct"/>
            <w:vMerge/>
            <w:vAlign w:val="center"/>
          </w:tcPr>
          <w:p w14:paraId="3BB533B4" w14:textId="77777777" w:rsidR="00CE0D5A" w:rsidRPr="00F811EF" w:rsidRDefault="00CE0D5A" w:rsidP="0047493C">
            <w:pPr>
              <w:spacing w:after="0"/>
              <w:rPr>
                <w:i/>
                <w:sz w:val="20"/>
                <w:szCs w:val="20"/>
              </w:rPr>
            </w:pPr>
          </w:p>
        </w:tc>
        <w:tc>
          <w:tcPr>
            <w:tcW w:w="924" w:type="pct"/>
            <w:vMerge/>
            <w:vAlign w:val="center"/>
          </w:tcPr>
          <w:p w14:paraId="318D5CDB" w14:textId="77777777" w:rsidR="00CE0D5A" w:rsidRPr="00F811EF" w:rsidRDefault="00CE0D5A" w:rsidP="0047493C">
            <w:pPr>
              <w:spacing w:after="0"/>
              <w:rPr>
                <w:i/>
                <w:sz w:val="20"/>
                <w:szCs w:val="20"/>
              </w:rPr>
            </w:pPr>
          </w:p>
        </w:tc>
        <w:tc>
          <w:tcPr>
            <w:tcW w:w="1059" w:type="pct"/>
            <w:vMerge/>
            <w:vAlign w:val="center"/>
          </w:tcPr>
          <w:p w14:paraId="1730020C" w14:textId="77777777" w:rsidR="00CE0D5A" w:rsidRPr="00F811EF" w:rsidRDefault="00CE0D5A" w:rsidP="0047493C">
            <w:pPr>
              <w:spacing w:after="0"/>
              <w:rPr>
                <w:i/>
                <w:sz w:val="20"/>
                <w:szCs w:val="20"/>
              </w:rPr>
            </w:pPr>
          </w:p>
        </w:tc>
      </w:tr>
      <w:tr w:rsidR="00A0686F" w:rsidRPr="00F811EF" w14:paraId="66B08DDB" w14:textId="77777777" w:rsidTr="0047493C">
        <w:trPr>
          <w:jc w:val="center"/>
        </w:trPr>
        <w:tc>
          <w:tcPr>
            <w:tcW w:w="918" w:type="pct"/>
            <w:vAlign w:val="center"/>
          </w:tcPr>
          <w:p w14:paraId="3A93571F" w14:textId="77777777" w:rsidR="00CE0D5A" w:rsidRPr="00F811EF" w:rsidRDefault="00CE0D5A" w:rsidP="0047493C">
            <w:pPr>
              <w:spacing w:after="0"/>
              <w:rPr>
                <w:i/>
                <w:sz w:val="20"/>
                <w:szCs w:val="20"/>
              </w:rPr>
            </w:pPr>
            <w:r w:rsidRPr="00F811EF">
              <w:rPr>
                <w:i/>
                <w:sz w:val="20"/>
                <w:szCs w:val="20"/>
              </w:rPr>
              <w:t>COPA</w:t>
            </w:r>
          </w:p>
        </w:tc>
        <w:tc>
          <w:tcPr>
            <w:tcW w:w="360" w:type="pct"/>
          </w:tcPr>
          <w:p w14:paraId="418216CE" w14:textId="77777777" w:rsidR="00CE0D5A" w:rsidRPr="00F811EF" w:rsidRDefault="00CE0D5A" w:rsidP="0047493C">
            <w:pPr>
              <w:spacing w:after="0"/>
              <w:jc w:val="center"/>
              <w:rPr>
                <w:sz w:val="20"/>
                <w:szCs w:val="20"/>
              </w:rPr>
            </w:pPr>
            <w:r w:rsidRPr="00F811EF">
              <w:rPr>
                <w:sz w:val="20"/>
                <w:szCs w:val="20"/>
              </w:rPr>
              <w:t>1.109</w:t>
            </w:r>
          </w:p>
        </w:tc>
        <w:tc>
          <w:tcPr>
            <w:tcW w:w="562" w:type="pct"/>
          </w:tcPr>
          <w:p w14:paraId="36B1AECF" w14:textId="77777777" w:rsidR="00CE0D5A" w:rsidRPr="00F811EF" w:rsidRDefault="00CE0D5A" w:rsidP="0047493C">
            <w:pPr>
              <w:spacing w:after="0"/>
              <w:jc w:val="center"/>
              <w:rPr>
                <w:sz w:val="20"/>
                <w:szCs w:val="20"/>
              </w:rPr>
            </w:pPr>
            <w:r w:rsidRPr="00F811EF">
              <w:rPr>
                <w:sz w:val="20"/>
                <w:szCs w:val="20"/>
              </w:rPr>
              <w:t>154</w:t>
            </w:r>
          </w:p>
        </w:tc>
        <w:tc>
          <w:tcPr>
            <w:tcW w:w="442" w:type="pct"/>
          </w:tcPr>
          <w:p w14:paraId="598C0A19" w14:textId="77777777" w:rsidR="00CE0D5A" w:rsidRPr="00F811EF" w:rsidRDefault="00CE0D5A" w:rsidP="0047493C">
            <w:pPr>
              <w:spacing w:after="0"/>
              <w:jc w:val="center"/>
              <w:rPr>
                <w:sz w:val="20"/>
                <w:szCs w:val="20"/>
              </w:rPr>
            </w:pPr>
            <w:r w:rsidRPr="00F811EF">
              <w:rPr>
                <w:sz w:val="20"/>
                <w:szCs w:val="20"/>
              </w:rPr>
              <w:t>1.263</w:t>
            </w:r>
          </w:p>
        </w:tc>
        <w:tc>
          <w:tcPr>
            <w:tcW w:w="734" w:type="pct"/>
          </w:tcPr>
          <w:p w14:paraId="6C6C452F" w14:textId="77777777" w:rsidR="00CE0D5A" w:rsidRPr="00F811EF" w:rsidRDefault="00CE0D5A" w:rsidP="0047493C">
            <w:pPr>
              <w:spacing w:after="0"/>
              <w:jc w:val="center"/>
              <w:rPr>
                <w:sz w:val="20"/>
                <w:szCs w:val="20"/>
              </w:rPr>
            </w:pPr>
            <w:r w:rsidRPr="00F811EF">
              <w:rPr>
                <w:sz w:val="20"/>
                <w:szCs w:val="20"/>
              </w:rPr>
              <w:t>4.864.800</w:t>
            </w:r>
          </w:p>
        </w:tc>
        <w:tc>
          <w:tcPr>
            <w:tcW w:w="924" w:type="pct"/>
          </w:tcPr>
          <w:p w14:paraId="10A70FB1" w14:textId="77777777" w:rsidR="00CE0D5A" w:rsidRPr="00F811EF" w:rsidRDefault="00CE0D5A" w:rsidP="0047493C">
            <w:pPr>
              <w:spacing w:after="0"/>
              <w:jc w:val="center"/>
              <w:rPr>
                <w:sz w:val="20"/>
                <w:szCs w:val="20"/>
              </w:rPr>
            </w:pPr>
            <w:r w:rsidRPr="00F811EF">
              <w:rPr>
                <w:sz w:val="20"/>
                <w:szCs w:val="20"/>
              </w:rPr>
              <w:t>30,41</w:t>
            </w:r>
          </w:p>
        </w:tc>
        <w:tc>
          <w:tcPr>
            <w:tcW w:w="1059" w:type="pct"/>
          </w:tcPr>
          <w:p w14:paraId="7411B743" w14:textId="77777777" w:rsidR="00CE0D5A" w:rsidRPr="00F811EF" w:rsidRDefault="00CE0D5A" w:rsidP="0047493C">
            <w:pPr>
              <w:spacing w:after="0"/>
              <w:jc w:val="center"/>
              <w:rPr>
                <w:sz w:val="20"/>
                <w:szCs w:val="20"/>
              </w:rPr>
            </w:pPr>
            <w:r w:rsidRPr="00F811EF">
              <w:rPr>
                <w:sz w:val="20"/>
                <w:szCs w:val="20"/>
              </w:rPr>
              <w:t>0,19</w:t>
            </w:r>
          </w:p>
        </w:tc>
      </w:tr>
      <w:tr w:rsidR="00A0686F" w:rsidRPr="00F811EF" w14:paraId="6316DD9D" w14:textId="77777777" w:rsidTr="0047493C">
        <w:trPr>
          <w:jc w:val="center"/>
        </w:trPr>
        <w:tc>
          <w:tcPr>
            <w:tcW w:w="918" w:type="pct"/>
            <w:vAlign w:val="center"/>
          </w:tcPr>
          <w:p w14:paraId="1E3F08F7" w14:textId="77777777" w:rsidR="00CE0D5A" w:rsidRPr="00F811EF" w:rsidRDefault="00CE0D5A" w:rsidP="0047493C">
            <w:pPr>
              <w:spacing w:after="0"/>
              <w:rPr>
                <w:i/>
                <w:sz w:val="20"/>
                <w:szCs w:val="20"/>
              </w:rPr>
            </w:pPr>
            <w:r w:rsidRPr="00F811EF">
              <w:rPr>
                <w:i/>
                <w:sz w:val="20"/>
                <w:szCs w:val="20"/>
              </w:rPr>
              <w:t>DISTINTO DE COPA</w:t>
            </w:r>
          </w:p>
        </w:tc>
        <w:tc>
          <w:tcPr>
            <w:tcW w:w="360" w:type="pct"/>
          </w:tcPr>
          <w:p w14:paraId="7347AF9D" w14:textId="77777777" w:rsidR="00CE0D5A" w:rsidRPr="00F811EF" w:rsidRDefault="00CE0D5A" w:rsidP="0047493C">
            <w:pPr>
              <w:spacing w:after="0"/>
              <w:jc w:val="center"/>
              <w:rPr>
                <w:sz w:val="20"/>
                <w:szCs w:val="20"/>
              </w:rPr>
            </w:pPr>
            <w:r w:rsidRPr="00F811EF">
              <w:rPr>
                <w:sz w:val="20"/>
                <w:szCs w:val="20"/>
              </w:rPr>
              <w:t>80</w:t>
            </w:r>
          </w:p>
        </w:tc>
        <w:tc>
          <w:tcPr>
            <w:tcW w:w="562" w:type="pct"/>
          </w:tcPr>
          <w:p w14:paraId="2029099B" w14:textId="77777777" w:rsidR="00CE0D5A" w:rsidRPr="00F811EF" w:rsidRDefault="00CE0D5A" w:rsidP="0047493C">
            <w:pPr>
              <w:spacing w:after="0"/>
              <w:jc w:val="center"/>
              <w:rPr>
                <w:sz w:val="20"/>
                <w:szCs w:val="20"/>
              </w:rPr>
            </w:pPr>
            <w:r w:rsidRPr="00F811EF">
              <w:rPr>
                <w:sz w:val="20"/>
                <w:szCs w:val="20"/>
              </w:rPr>
              <w:t>5.157</w:t>
            </w:r>
          </w:p>
        </w:tc>
        <w:tc>
          <w:tcPr>
            <w:tcW w:w="442" w:type="pct"/>
          </w:tcPr>
          <w:p w14:paraId="6162449E" w14:textId="77777777" w:rsidR="00CE0D5A" w:rsidRPr="00F811EF" w:rsidRDefault="00CE0D5A" w:rsidP="0047493C">
            <w:pPr>
              <w:spacing w:after="0"/>
              <w:jc w:val="center"/>
              <w:rPr>
                <w:sz w:val="20"/>
                <w:szCs w:val="20"/>
              </w:rPr>
            </w:pPr>
            <w:r w:rsidRPr="00F811EF">
              <w:rPr>
                <w:sz w:val="20"/>
                <w:szCs w:val="20"/>
              </w:rPr>
              <w:t>5.237</w:t>
            </w:r>
          </w:p>
        </w:tc>
        <w:tc>
          <w:tcPr>
            <w:tcW w:w="734" w:type="pct"/>
          </w:tcPr>
          <w:p w14:paraId="11EF3BEA" w14:textId="77777777" w:rsidR="00CE0D5A" w:rsidRPr="00F811EF" w:rsidRDefault="00CE0D5A" w:rsidP="0047493C">
            <w:pPr>
              <w:spacing w:after="0"/>
              <w:jc w:val="center"/>
              <w:rPr>
                <w:sz w:val="20"/>
                <w:szCs w:val="20"/>
              </w:rPr>
            </w:pPr>
            <w:r w:rsidRPr="00F811EF">
              <w:rPr>
                <w:sz w:val="20"/>
                <w:szCs w:val="20"/>
              </w:rPr>
              <w:t>21.114.448</w:t>
            </w:r>
          </w:p>
        </w:tc>
        <w:tc>
          <w:tcPr>
            <w:tcW w:w="924" w:type="pct"/>
          </w:tcPr>
          <w:p w14:paraId="21DA43AC" w14:textId="77777777" w:rsidR="00CE0D5A" w:rsidRPr="00F811EF" w:rsidRDefault="00CE0D5A" w:rsidP="0047493C">
            <w:pPr>
              <w:spacing w:after="0"/>
              <w:jc w:val="center"/>
              <w:rPr>
                <w:sz w:val="20"/>
                <w:szCs w:val="20"/>
              </w:rPr>
            </w:pPr>
            <w:r w:rsidRPr="00F811EF">
              <w:rPr>
                <w:sz w:val="20"/>
                <w:szCs w:val="20"/>
              </w:rPr>
              <w:t>131,97</w:t>
            </w:r>
          </w:p>
        </w:tc>
        <w:tc>
          <w:tcPr>
            <w:tcW w:w="1059" w:type="pct"/>
          </w:tcPr>
          <w:p w14:paraId="4D62D1C9" w14:textId="77777777" w:rsidR="00CE0D5A" w:rsidRPr="00F811EF" w:rsidRDefault="00CE0D5A" w:rsidP="0047493C">
            <w:pPr>
              <w:spacing w:after="0"/>
              <w:jc w:val="center"/>
              <w:rPr>
                <w:sz w:val="20"/>
                <w:szCs w:val="20"/>
              </w:rPr>
            </w:pPr>
            <w:r w:rsidRPr="00F811EF">
              <w:rPr>
                <w:sz w:val="20"/>
                <w:szCs w:val="20"/>
              </w:rPr>
              <w:t>0,81</w:t>
            </w:r>
          </w:p>
        </w:tc>
      </w:tr>
      <w:tr w:rsidR="00A0686F" w:rsidRPr="00F811EF" w14:paraId="346C4CBC" w14:textId="77777777" w:rsidTr="0047493C">
        <w:trPr>
          <w:jc w:val="center"/>
        </w:trPr>
        <w:tc>
          <w:tcPr>
            <w:tcW w:w="918" w:type="pct"/>
            <w:vAlign w:val="center"/>
          </w:tcPr>
          <w:p w14:paraId="7F40C8D1" w14:textId="77777777" w:rsidR="00CE0D5A" w:rsidRPr="00F811EF" w:rsidRDefault="00CE0D5A" w:rsidP="0047493C">
            <w:pPr>
              <w:spacing w:after="0"/>
              <w:rPr>
                <w:i/>
                <w:sz w:val="20"/>
                <w:szCs w:val="20"/>
              </w:rPr>
            </w:pPr>
            <w:r w:rsidRPr="00F811EF">
              <w:rPr>
                <w:i/>
                <w:sz w:val="20"/>
                <w:szCs w:val="20"/>
              </w:rPr>
              <w:t xml:space="preserve">TOTAL </w:t>
            </w:r>
          </w:p>
        </w:tc>
        <w:tc>
          <w:tcPr>
            <w:tcW w:w="360" w:type="pct"/>
          </w:tcPr>
          <w:p w14:paraId="7364F2A2" w14:textId="77777777" w:rsidR="00CE0D5A" w:rsidRPr="00F811EF" w:rsidRDefault="00CE0D5A" w:rsidP="0047493C">
            <w:pPr>
              <w:spacing w:after="0"/>
              <w:jc w:val="center"/>
              <w:rPr>
                <w:sz w:val="20"/>
                <w:szCs w:val="20"/>
              </w:rPr>
            </w:pPr>
            <w:r w:rsidRPr="00F811EF">
              <w:rPr>
                <w:sz w:val="20"/>
                <w:szCs w:val="20"/>
              </w:rPr>
              <w:t>1.189</w:t>
            </w:r>
          </w:p>
        </w:tc>
        <w:tc>
          <w:tcPr>
            <w:tcW w:w="562" w:type="pct"/>
          </w:tcPr>
          <w:p w14:paraId="02BD22AC" w14:textId="77777777" w:rsidR="00CE0D5A" w:rsidRPr="00F811EF" w:rsidRDefault="00CE0D5A" w:rsidP="0047493C">
            <w:pPr>
              <w:spacing w:after="0"/>
              <w:jc w:val="center"/>
              <w:rPr>
                <w:sz w:val="20"/>
                <w:szCs w:val="20"/>
              </w:rPr>
            </w:pPr>
            <w:r w:rsidRPr="00F811EF">
              <w:rPr>
                <w:sz w:val="20"/>
                <w:szCs w:val="20"/>
              </w:rPr>
              <w:t>5.311</w:t>
            </w:r>
          </w:p>
        </w:tc>
        <w:tc>
          <w:tcPr>
            <w:tcW w:w="442" w:type="pct"/>
          </w:tcPr>
          <w:p w14:paraId="2CE7D0AA" w14:textId="77777777" w:rsidR="00CE0D5A" w:rsidRPr="00F811EF" w:rsidRDefault="00CE0D5A" w:rsidP="0047493C">
            <w:pPr>
              <w:spacing w:after="0"/>
              <w:jc w:val="center"/>
              <w:rPr>
                <w:sz w:val="20"/>
                <w:szCs w:val="20"/>
              </w:rPr>
            </w:pPr>
            <w:r w:rsidRPr="00F811EF">
              <w:rPr>
                <w:sz w:val="20"/>
                <w:szCs w:val="20"/>
              </w:rPr>
              <w:t>6.500</w:t>
            </w:r>
          </w:p>
        </w:tc>
        <w:tc>
          <w:tcPr>
            <w:tcW w:w="734" w:type="pct"/>
          </w:tcPr>
          <w:p w14:paraId="543CDBBB" w14:textId="77777777" w:rsidR="00CE0D5A" w:rsidRPr="00F811EF" w:rsidRDefault="00CE0D5A" w:rsidP="0047493C">
            <w:pPr>
              <w:spacing w:after="0"/>
              <w:jc w:val="center"/>
              <w:rPr>
                <w:sz w:val="20"/>
                <w:szCs w:val="20"/>
              </w:rPr>
            </w:pPr>
            <w:r w:rsidRPr="00F811EF">
              <w:rPr>
                <w:sz w:val="20"/>
                <w:szCs w:val="20"/>
              </w:rPr>
              <w:t>25.979.248</w:t>
            </w:r>
          </w:p>
        </w:tc>
        <w:tc>
          <w:tcPr>
            <w:tcW w:w="924" w:type="pct"/>
          </w:tcPr>
          <w:p w14:paraId="3DC67AD6" w14:textId="77777777" w:rsidR="00CE0D5A" w:rsidRPr="00F811EF" w:rsidRDefault="00CE0D5A" w:rsidP="0047493C">
            <w:pPr>
              <w:spacing w:after="0"/>
              <w:jc w:val="center"/>
              <w:rPr>
                <w:sz w:val="20"/>
                <w:szCs w:val="20"/>
              </w:rPr>
            </w:pPr>
            <w:r w:rsidRPr="00F811EF">
              <w:rPr>
                <w:sz w:val="20"/>
                <w:szCs w:val="20"/>
              </w:rPr>
              <w:t>162,37</w:t>
            </w:r>
          </w:p>
        </w:tc>
        <w:tc>
          <w:tcPr>
            <w:tcW w:w="1059" w:type="pct"/>
          </w:tcPr>
          <w:p w14:paraId="02633EC9" w14:textId="77777777" w:rsidR="00CE0D5A" w:rsidRPr="00F811EF" w:rsidRDefault="00CE0D5A" w:rsidP="0047493C">
            <w:pPr>
              <w:spacing w:after="0"/>
              <w:jc w:val="center"/>
              <w:rPr>
                <w:sz w:val="20"/>
                <w:szCs w:val="20"/>
              </w:rPr>
            </w:pPr>
            <w:r w:rsidRPr="00F811EF">
              <w:rPr>
                <w:sz w:val="20"/>
                <w:szCs w:val="20"/>
              </w:rPr>
              <w:t>1,00</w:t>
            </w:r>
          </w:p>
        </w:tc>
      </w:tr>
    </w:tbl>
    <w:p w14:paraId="39C8861E" w14:textId="77777777" w:rsidR="007276E2" w:rsidRPr="00600663" w:rsidRDefault="007276E2" w:rsidP="007276E2"/>
    <w:p w14:paraId="5CCDF1C2" w14:textId="77777777" w:rsidR="007276E2" w:rsidRPr="00600663" w:rsidRDefault="007276E2" w:rsidP="007276E2">
      <w:pPr>
        <w:jc w:val="center"/>
        <w:rPr>
          <w:sz w:val="18"/>
        </w:rPr>
      </w:pPr>
      <w:r w:rsidRPr="00600663">
        <w:rPr>
          <w:b/>
          <w:sz w:val="18"/>
        </w:rPr>
        <w:t xml:space="preserve">Tabla 3. </w:t>
      </w:r>
      <w:r w:rsidR="00CE0D5A" w:rsidRPr="00600663">
        <w:rPr>
          <w:sz w:val="18"/>
        </w:rPr>
        <w:t>Matriz de confusión de la combinación de la Clasificación Orientada a Objetos</w:t>
      </w:r>
      <w:r w:rsidRPr="00600663">
        <w:rPr>
          <w:sz w:val="18"/>
        </w:rPr>
        <w:t xml:space="preserve"> </w:t>
      </w:r>
      <w:r w:rsidR="00CE0D5A" w:rsidRPr="00600663">
        <w:rPr>
          <w:sz w:val="18"/>
        </w:rPr>
        <w:t>con</w:t>
      </w:r>
      <w:r w:rsidRPr="00600663">
        <w:rPr>
          <w:sz w:val="18"/>
        </w:rPr>
        <w:t xml:space="preserve"> </w:t>
      </w:r>
      <w:r w:rsidR="00B775B9">
        <w:rPr>
          <w:sz w:val="18"/>
        </w:rPr>
        <w:t xml:space="preserve">datos </w:t>
      </w:r>
      <w:r w:rsidRPr="00600663">
        <w:rPr>
          <w:sz w:val="18"/>
        </w:rPr>
        <w:t>LiDAR.</w:t>
      </w:r>
    </w:p>
    <w:tbl>
      <w:tblPr>
        <w:tblStyle w:val="Tablaconcuadrcula"/>
        <w:tblW w:w="5000" w:type="pct"/>
        <w:jc w:val="center"/>
        <w:tblLayout w:type="fixed"/>
        <w:tblLook w:val="04A0" w:firstRow="1" w:lastRow="0" w:firstColumn="1" w:lastColumn="0" w:noHBand="0" w:noVBand="1"/>
      </w:tblPr>
      <w:tblGrid>
        <w:gridCol w:w="1767"/>
        <w:gridCol w:w="692"/>
        <w:gridCol w:w="1085"/>
        <w:gridCol w:w="853"/>
        <w:gridCol w:w="1413"/>
        <w:gridCol w:w="1777"/>
        <w:gridCol w:w="2041"/>
      </w:tblGrid>
      <w:tr w:rsidR="00EF7001" w:rsidRPr="00F811EF" w14:paraId="1EEA159B" w14:textId="77777777" w:rsidTr="0047493C">
        <w:trPr>
          <w:trHeight w:val="256"/>
          <w:jc w:val="center"/>
        </w:trPr>
        <w:tc>
          <w:tcPr>
            <w:tcW w:w="917" w:type="pct"/>
            <w:vMerge w:val="restart"/>
            <w:tcBorders>
              <w:top w:val="nil"/>
              <w:left w:val="nil"/>
            </w:tcBorders>
            <w:vAlign w:val="center"/>
          </w:tcPr>
          <w:p w14:paraId="63C0768B" w14:textId="204A39EF" w:rsidR="00CE0D5A" w:rsidRPr="00F811EF" w:rsidRDefault="00CE0D5A" w:rsidP="0047493C">
            <w:pPr>
              <w:spacing w:after="0"/>
              <w:jc w:val="center"/>
              <w:rPr>
                <w:i/>
                <w:sz w:val="20"/>
                <w:szCs w:val="20"/>
              </w:rPr>
            </w:pPr>
          </w:p>
        </w:tc>
        <w:tc>
          <w:tcPr>
            <w:tcW w:w="1365" w:type="pct"/>
            <w:gridSpan w:val="3"/>
            <w:vAlign w:val="center"/>
          </w:tcPr>
          <w:p w14:paraId="69908EE1" w14:textId="77777777" w:rsidR="00CE0D5A" w:rsidRPr="00F811EF" w:rsidRDefault="00F811EF" w:rsidP="0047493C">
            <w:pPr>
              <w:spacing w:after="0"/>
              <w:jc w:val="center"/>
              <w:rPr>
                <w:i/>
                <w:sz w:val="20"/>
                <w:szCs w:val="20"/>
              </w:rPr>
            </w:pPr>
            <w:r w:rsidRPr="00F811EF">
              <w:rPr>
                <w:i/>
                <w:sz w:val="20"/>
                <w:szCs w:val="20"/>
              </w:rPr>
              <w:t xml:space="preserve">PUNTOS </w:t>
            </w:r>
            <w:r w:rsidR="00CE0D5A" w:rsidRPr="00F811EF">
              <w:rPr>
                <w:i/>
                <w:sz w:val="20"/>
                <w:szCs w:val="20"/>
              </w:rPr>
              <w:t>DE REFERENCIA</w:t>
            </w:r>
          </w:p>
        </w:tc>
        <w:tc>
          <w:tcPr>
            <w:tcW w:w="734" w:type="pct"/>
            <w:vMerge w:val="restart"/>
            <w:vAlign w:val="center"/>
          </w:tcPr>
          <w:p w14:paraId="69C64C84" w14:textId="77777777" w:rsidR="00CE0D5A" w:rsidRPr="00F811EF" w:rsidRDefault="00CE0D5A" w:rsidP="0047493C">
            <w:pPr>
              <w:spacing w:after="0"/>
              <w:jc w:val="center"/>
              <w:rPr>
                <w:i/>
                <w:sz w:val="20"/>
                <w:szCs w:val="20"/>
              </w:rPr>
            </w:pPr>
            <w:r w:rsidRPr="00F811EF">
              <w:rPr>
                <w:i/>
                <w:sz w:val="20"/>
                <w:szCs w:val="20"/>
              </w:rPr>
              <w:t>PIXELES CLASIFICADOS</w:t>
            </w:r>
          </w:p>
        </w:tc>
        <w:tc>
          <w:tcPr>
            <w:tcW w:w="923" w:type="pct"/>
            <w:vMerge w:val="restart"/>
            <w:vAlign w:val="center"/>
          </w:tcPr>
          <w:p w14:paraId="77724AAD" w14:textId="77777777" w:rsidR="00CE0D5A" w:rsidRPr="00F811EF" w:rsidRDefault="00CE0D5A" w:rsidP="0047493C">
            <w:pPr>
              <w:spacing w:after="0"/>
              <w:jc w:val="center"/>
              <w:rPr>
                <w:i/>
                <w:sz w:val="20"/>
                <w:szCs w:val="20"/>
              </w:rPr>
            </w:pPr>
            <w:r w:rsidRPr="00F811EF">
              <w:rPr>
                <w:i/>
                <w:sz w:val="20"/>
                <w:szCs w:val="20"/>
              </w:rPr>
              <w:t>ÁREA CLASIFICADA (ha)</w:t>
            </w:r>
          </w:p>
        </w:tc>
        <w:tc>
          <w:tcPr>
            <w:tcW w:w="1060" w:type="pct"/>
            <w:vMerge w:val="restart"/>
            <w:vAlign w:val="center"/>
          </w:tcPr>
          <w:p w14:paraId="76A7D02C" w14:textId="77777777" w:rsidR="00CE0D5A" w:rsidRPr="00F811EF" w:rsidRDefault="002E283E" w:rsidP="0047493C">
            <w:pPr>
              <w:spacing w:after="0"/>
              <w:jc w:val="center"/>
              <w:rPr>
                <w:i/>
                <w:sz w:val="20"/>
                <w:szCs w:val="20"/>
              </w:rPr>
            </w:pPr>
            <w:r w:rsidRPr="00F811EF">
              <w:rPr>
                <w:i/>
                <w:sz w:val="20"/>
                <w:szCs w:val="20"/>
              </w:rPr>
              <w:t>PESO DE LA CLASE EN LA CLASIFICACIÓN</w:t>
            </w:r>
          </w:p>
        </w:tc>
      </w:tr>
      <w:tr w:rsidR="00EF7001" w:rsidRPr="00F811EF" w14:paraId="6AF799AC" w14:textId="77777777" w:rsidTr="0047493C">
        <w:trPr>
          <w:jc w:val="center"/>
        </w:trPr>
        <w:tc>
          <w:tcPr>
            <w:tcW w:w="917" w:type="pct"/>
            <w:vMerge/>
            <w:tcBorders>
              <w:left w:val="nil"/>
            </w:tcBorders>
            <w:vAlign w:val="center"/>
          </w:tcPr>
          <w:p w14:paraId="154BAB43" w14:textId="77777777" w:rsidR="00CE0D5A" w:rsidRPr="00F811EF" w:rsidRDefault="00CE0D5A" w:rsidP="0047493C">
            <w:pPr>
              <w:spacing w:after="0"/>
              <w:rPr>
                <w:sz w:val="20"/>
                <w:szCs w:val="20"/>
              </w:rPr>
            </w:pPr>
          </w:p>
        </w:tc>
        <w:tc>
          <w:tcPr>
            <w:tcW w:w="359" w:type="pct"/>
            <w:vAlign w:val="center"/>
          </w:tcPr>
          <w:p w14:paraId="12F5D58D" w14:textId="77777777" w:rsidR="00CE0D5A" w:rsidRPr="00F811EF" w:rsidRDefault="00CE0D5A" w:rsidP="0047493C">
            <w:pPr>
              <w:spacing w:after="0"/>
              <w:jc w:val="center"/>
              <w:rPr>
                <w:i/>
                <w:sz w:val="20"/>
                <w:szCs w:val="20"/>
              </w:rPr>
            </w:pPr>
            <w:r w:rsidRPr="00F811EF">
              <w:rPr>
                <w:i/>
                <w:sz w:val="20"/>
                <w:szCs w:val="20"/>
              </w:rPr>
              <w:t>COPA</w:t>
            </w:r>
          </w:p>
        </w:tc>
        <w:tc>
          <w:tcPr>
            <w:tcW w:w="563" w:type="pct"/>
            <w:vAlign w:val="center"/>
          </w:tcPr>
          <w:p w14:paraId="7C0E3C24" w14:textId="77777777" w:rsidR="00CE0D5A" w:rsidRPr="00F811EF" w:rsidRDefault="00CE0D5A" w:rsidP="0047493C">
            <w:pPr>
              <w:spacing w:after="0"/>
              <w:jc w:val="center"/>
              <w:rPr>
                <w:i/>
                <w:sz w:val="20"/>
                <w:szCs w:val="20"/>
              </w:rPr>
            </w:pPr>
            <w:r w:rsidRPr="00F811EF">
              <w:rPr>
                <w:i/>
                <w:sz w:val="20"/>
                <w:szCs w:val="20"/>
              </w:rPr>
              <w:t>DISTINTO DE COPA</w:t>
            </w:r>
          </w:p>
        </w:tc>
        <w:tc>
          <w:tcPr>
            <w:tcW w:w="443" w:type="pct"/>
            <w:vAlign w:val="center"/>
          </w:tcPr>
          <w:p w14:paraId="49261A94" w14:textId="5A9D56F8" w:rsidR="00CE0D5A" w:rsidRPr="00F811EF" w:rsidRDefault="00CE0D5A" w:rsidP="0047493C">
            <w:pPr>
              <w:spacing w:after="0"/>
              <w:jc w:val="center"/>
              <w:rPr>
                <w:i/>
                <w:sz w:val="20"/>
                <w:szCs w:val="20"/>
              </w:rPr>
            </w:pPr>
            <w:r w:rsidRPr="00F811EF">
              <w:rPr>
                <w:i/>
                <w:sz w:val="20"/>
                <w:szCs w:val="20"/>
              </w:rPr>
              <w:t xml:space="preserve">TOTAL </w:t>
            </w:r>
          </w:p>
        </w:tc>
        <w:tc>
          <w:tcPr>
            <w:tcW w:w="734" w:type="pct"/>
            <w:vMerge/>
          </w:tcPr>
          <w:p w14:paraId="55D67003" w14:textId="77777777" w:rsidR="00CE0D5A" w:rsidRPr="00F811EF" w:rsidRDefault="00CE0D5A" w:rsidP="0047493C">
            <w:pPr>
              <w:spacing w:after="0"/>
              <w:rPr>
                <w:i/>
                <w:sz w:val="20"/>
                <w:szCs w:val="20"/>
              </w:rPr>
            </w:pPr>
          </w:p>
        </w:tc>
        <w:tc>
          <w:tcPr>
            <w:tcW w:w="923" w:type="pct"/>
            <w:vMerge/>
          </w:tcPr>
          <w:p w14:paraId="1E941189" w14:textId="77777777" w:rsidR="00CE0D5A" w:rsidRPr="00F811EF" w:rsidRDefault="00CE0D5A" w:rsidP="0047493C">
            <w:pPr>
              <w:spacing w:after="0"/>
              <w:rPr>
                <w:i/>
                <w:sz w:val="20"/>
                <w:szCs w:val="20"/>
              </w:rPr>
            </w:pPr>
          </w:p>
        </w:tc>
        <w:tc>
          <w:tcPr>
            <w:tcW w:w="1060" w:type="pct"/>
            <w:vMerge/>
          </w:tcPr>
          <w:p w14:paraId="31718492" w14:textId="77777777" w:rsidR="00CE0D5A" w:rsidRPr="00F811EF" w:rsidRDefault="00CE0D5A" w:rsidP="0047493C">
            <w:pPr>
              <w:spacing w:after="0"/>
              <w:rPr>
                <w:i/>
                <w:sz w:val="20"/>
                <w:szCs w:val="20"/>
              </w:rPr>
            </w:pPr>
          </w:p>
        </w:tc>
      </w:tr>
      <w:tr w:rsidR="00EF7001" w:rsidRPr="00F811EF" w14:paraId="4A459F93" w14:textId="77777777" w:rsidTr="0047493C">
        <w:trPr>
          <w:jc w:val="center"/>
        </w:trPr>
        <w:tc>
          <w:tcPr>
            <w:tcW w:w="917" w:type="pct"/>
            <w:vAlign w:val="center"/>
          </w:tcPr>
          <w:p w14:paraId="37CF4403" w14:textId="77777777" w:rsidR="00CE0D5A" w:rsidRPr="00F811EF" w:rsidRDefault="00CE0D5A" w:rsidP="0047493C">
            <w:pPr>
              <w:spacing w:after="0"/>
              <w:rPr>
                <w:i/>
                <w:sz w:val="20"/>
                <w:szCs w:val="20"/>
              </w:rPr>
            </w:pPr>
            <w:r w:rsidRPr="00F811EF">
              <w:rPr>
                <w:i/>
                <w:sz w:val="20"/>
                <w:szCs w:val="20"/>
              </w:rPr>
              <w:t>COPA</w:t>
            </w:r>
          </w:p>
        </w:tc>
        <w:tc>
          <w:tcPr>
            <w:tcW w:w="359" w:type="pct"/>
          </w:tcPr>
          <w:p w14:paraId="2570E98E" w14:textId="77777777" w:rsidR="00CE0D5A" w:rsidRPr="00F811EF" w:rsidRDefault="00CE0D5A" w:rsidP="0047493C">
            <w:pPr>
              <w:spacing w:after="0"/>
              <w:jc w:val="center"/>
              <w:rPr>
                <w:sz w:val="20"/>
                <w:szCs w:val="20"/>
              </w:rPr>
            </w:pPr>
            <w:r w:rsidRPr="00F811EF">
              <w:rPr>
                <w:sz w:val="20"/>
                <w:szCs w:val="20"/>
              </w:rPr>
              <w:t>1.106</w:t>
            </w:r>
          </w:p>
        </w:tc>
        <w:tc>
          <w:tcPr>
            <w:tcW w:w="563" w:type="pct"/>
          </w:tcPr>
          <w:p w14:paraId="77BCA47B" w14:textId="77777777" w:rsidR="00CE0D5A" w:rsidRPr="00F811EF" w:rsidRDefault="00CE0D5A" w:rsidP="0047493C">
            <w:pPr>
              <w:spacing w:after="0"/>
              <w:jc w:val="center"/>
              <w:rPr>
                <w:sz w:val="20"/>
                <w:szCs w:val="20"/>
              </w:rPr>
            </w:pPr>
            <w:r w:rsidRPr="00F811EF">
              <w:rPr>
                <w:sz w:val="20"/>
                <w:szCs w:val="20"/>
              </w:rPr>
              <w:t>180</w:t>
            </w:r>
          </w:p>
        </w:tc>
        <w:tc>
          <w:tcPr>
            <w:tcW w:w="443" w:type="pct"/>
          </w:tcPr>
          <w:p w14:paraId="1AFEEFDB" w14:textId="77777777" w:rsidR="00CE0D5A" w:rsidRPr="00F811EF" w:rsidRDefault="00CE0D5A" w:rsidP="0047493C">
            <w:pPr>
              <w:spacing w:after="0"/>
              <w:jc w:val="center"/>
              <w:rPr>
                <w:sz w:val="20"/>
                <w:szCs w:val="20"/>
              </w:rPr>
            </w:pPr>
            <w:r w:rsidRPr="00F811EF">
              <w:rPr>
                <w:sz w:val="20"/>
                <w:szCs w:val="20"/>
              </w:rPr>
              <w:t>1.286</w:t>
            </w:r>
          </w:p>
        </w:tc>
        <w:tc>
          <w:tcPr>
            <w:tcW w:w="734" w:type="pct"/>
          </w:tcPr>
          <w:p w14:paraId="41447110" w14:textId="77777777" w:rsidR="00CE0D5A" w:rsidRPr="00F811EF" w:rsidRDefault="00CE0D5A" w:rsidP="0047493C">
            <w:pPr>
              <w:spacing w:after="0"/>
              <w:jc w:val="center"/>
              <w:rPr>
                <w:sz w:val="20"/>
                <w:szCs w:val="20"/>
              </w:rPr>
            </w:pPr>
            <w:r w:rsidRPr="00F811EF">
              <w:rPr>
                <w:sz w:val="20"/>
                <w:szCs w:val="20"/>
              </w:rPr>
              <w:t>4.945.746</w:t>
            </w:r>
          </w:p>
        </w:tc>
        <w:tc>
          <w:tcPr>
            <w:tcW w:w="923" w:type="pct"/>
          </w:tcPr>
          <w:p w14:paraId="79B237BE" w14:textId="77777777" w:rsidR="00CE0D5A" w:rsidRPr="00F811EF" w:rsidRDefault="00CE0D5A" w:rsidP="0047493C">
            <w:pPr>
              <w:spacing w:after="0"/>
              <w:jc w:val="center"/>
              <w:rPr>
                <w:sz w:val="20"/>
                <w:szCs w:val="20"/>
              </w:rPr>
            </w:pPr>
            <w:r w:rsidRPr="00F811EF">
              <w:rPr>
                <w:sz w:val="20"/>
                <w:szCs w:val="20"/>
              </w:rPr>
              <w:t>30,91</w:t>
            </w:r>
          </w:p>
        </w:tc>
        <w:tc>
          <w:tcPr>
            <w:tcW w:w="1060" w:type="pct"/>
          </w:tcPr>
          <w:p w14:paraId="4511786C" w14:textId="77777777" w:rsidR="00CE0D5A" w:rsidRPr="00F811EF" w:rsidRDefault="00CE0D5A" w:rsidP="0047493C">
            <w:pPr>
              <w:spacing w:after="0"/>
              <w:jc w:val="center"/>
              <w:rPr>
                <w:sz w:val="20"/>
                <w:szCs w:val="20"/>
              </w:rPr>
            </w:pPr>
            <w:r w:rsidRPr="00F811EF">
              <w:rPr>
                <w:sz w:val="20"/>
                <w:szCs w:val="20"/>
              </w:rPr>
              <w:t>0,19</w:t>
            </w:r>
          </w:p>
        </w:tc>
      </w:tr>
      <w:tr w:rsidR="00EF7001" w:rsidRPr="00F811EF" w14:paraId="181D3FB2" w14:textId="77777777" w:rsidTr="0047493C">
        <w:trPr>
          <w:jc w:val="center"/>
        </w:trPr>
        <w:tc>
          <w:tcPr>
            <w:tcW w:w="917" w:type="pct"/>
            <w:tcBorders>
              <w:bottom w:val="single" w:sz="4" w:space="0" w:color="auto"/>
            </w:tcBorders>
            <w:vAlign w:val="center"/>
          </w:tcPr>
          <w:p w14:paraId="6C07AA29" w14:textId="77777777" w:rsidR="00CE0D5A" w:rsidRPr="00F811EF" w:rsidRDefault="00CE0D5A" w:rsidP="0047493C">
            <w:pPr>
              <w:spacing w:after="0"/>
              <w:rPr>
                <w:i/>
                <w:sz w:val="20"/>
                <w:szCs w:val="20"/>
              </w:rPr>
            </w:pPr>
            <w:r w:rsidRPr="00F811EF">
              <w:rPr>
                <w:i/>
                <w:sz w:val="20"/>
                <w:szCs w:val="20"/>
              </w:rPr>
              <w:t>DISTINTO DE COPA</w:t>
            </w:r>
          </w:p>
        </w:tc>
        <w:tc>
          <w:tcPr>
            <w:tcW w:w="359" w:type="pct"/>
            <w:tcBorders>
              <w:bottom w:val="single" w:sz="4" w:space="0" w:color="auto"/>
            </w:tcBorders>
          </w:tcPr>
          <w:p w14:paraId="7D17C5FA" w14:textId="77777777" w:rsidR="00CE0D5A" w:rsidRPr="00F811EF" w:rsidRDefault="00CE0D5A" w:rsidP="0047493C">
            <w:pPr>
              <w:spacing w:after="0"/>
              <w:jc w:val="center"/>
              <w:rPr>
                <w:sz w:val="20"/>
                <w:szCs w:val="20"/>
              </w:rPr>
            </w:pPr>
            <w:r w:rsidRPr="00F811EF">
              <w:rPr>
                <w:sz w:val="20"/>
                <w:szCs w:val="20"/>
              </w:rPr>
              <w:t>83</w:t>
            </w:r>
          </w:p>
        </w:tc>
        <w:tc>
          <w:tcPr>
            <w:tcW w:w="563" w:type="pct"/>
            <w:tcBorders>
              <w:bottom w:val="single" w:sz="4" w:space="0" w:color="auto"/>
            </w:tcBorders>
          </w:tcPr>
          <w:p w14:paraId="1412F4FE" w14:textId="77777777" w:rsidR="00CE0D5A" w:rsidRPr="00F811EF" w:rsidRDefault="00CE0D5A" w:rsidP="0047493C">
            <w:pPr>
              <w:spacing w:after="0"/>
              <w:jc w:val="center"/>
              <w:rPr>
                <w:sz w:val="20"/>
                <w:szCs w:val="20"/>
              </w:rPr>
            </w:pPr>
            <w:r w:rsidRPr="00F811EF">
              <w:rPr>
                <w:sz w:val="20"/>
                <w:szCs w:val="20"/>
              </w:rPr>
              <w:t>5.131</w:t>
            </w:r>
          </w:p>
        </w:tc>
        <w:tc>
          <w:tcPr>
            <w:tcW w:w="443" w:type="pct"/>
            <w:tcBorders>
              <w:bottom w:val="single" w:sz="4" w:space="0" w:color="auto"/>
            </w:tcBorders>
          </w:tcPr>
          <w:p w14:paraId="364D80C7" w14:textId="77777777" w:rsidR="00CE0D5A" w:rsidRPr="00F811EF" w:rsidRDefault="00CE0D5A" w:rsidP="0047493C">
            <w:pPr>
              <w:spacing w:after="0"/>
              <w:jc w:val="center"/>
              <w:rPr>
                <w:sz w:val="20"/>
                <w:szCs w:val="20"/>
              </w:rPr>
            </w:pPr>
            <w:r w:rsidRPr="00F811EF">
              <w:rPr>
                <w:sz w:val="20"/>
                <w:szCs w:val="20"/>
              </w:rPr>
              <w:t>5.214</w:t>
            </w:r>
          </w:p>
        </w:tc>
        <w:tc>
          <w:tcPr>
            <w:tcW w:w="734" w:type="pct"/>
            <w:tcBorders>
              <w:bottom w:val="single" w:sz="4" w:space="0" w:color="auto"/>
            </w:tcBorders>
          </w:tcPr>
          <w:p w14:paraId="5652173A" w14:textId="77777777" w:rsidR="00CE0D5A" w:rsidRPr="00F811EF" w:rsidRDefault="00CE0D5A" w:rsidP="0047493C">
            <w:pPr>
              <w:spacing w:after="0"/>
              <w:jc w:val="center"/>
              <w:rPr>
                <w:sz w:val="20"/>
                <w:szCs w:val="20"/>
              </w:rPr>
            </w:pPr>
            <w:r w:rsidRPr="00F811EF">
              <w:rPr>
                <w:sz w:val="20"/>
                <w:szCs w:val="20"/>
              </w:rPr>
              <w:t>21.033.502</w:t>
            </w:r>
          </w:p>
        </w:tc>
        <w:tc>
          <w:tcPr>
            <w:tcW w:w="923" w:type="pct"/>
            <w:tcBorders>
              <w:bottom w:val="single" w:sz="4" w:space="0" w:color="auto"/>
            </w:tcBorders>
          </w:tcPr>
          <w:p w14:paraId="2651EA1B" w14:textId="77777777" w:rsidR="00CE0D5A" w:rsidRPr="00F811EF" w:rsidRDefault="00CE0D5A" w:rsidP="0047493C">
            <w:pPr>
              <w:spacing w:after="0"/>
              <w:jc w:val="center"/>
              <w:rPr>
                <w:sz w:val="20"/>
                <w:szCs w:val="20"/>
              </w:rPr>
            </w:pPr>
            <w:r w:rsidRPr="00F811EF">
              <w:rPr>
                <w:sz w:val="20"/>
                <w:szCs w:val="20"/>
              </w:rPr>
              <w:t>131,46</w:t>
            </w:r>
          </w:p>
        </w:tc>
        <w:tc>
          <w:tcPr>
            <w:tcW w:w="1060" w:type="pct"/>
            <w:tcBorders>
              <w:bottom w:val="single" w:sz="4" w:space="0" w:color="auto"/>
            </w:tcBorders>
          </w:tcPr>
          <w:p w14:paraId="2F8EE613" w14:textId="77777777" w:rsidR="00CE0D5A" w:rsidRPr="00F811EF" w:rsidRDefault="00CE0D5A" w:rsidP="0047493C">
            <w:pPr>
              <w:spacing w:after="0"/>
              <w:jc w:val="center"/>
              <w:rPr>
                <w:sz w:val="20"/>
                <w:szCs w:val="20"/>
              </w:rPr>
            </w:pPr>
            <w:r w:rsidRPr="00F811EF">
              <w:rPr>
                <w:sz w:val="20"/>
                <w:szCs w:val="20"/>
              </w:rPr>
              <w:t>0,81</w:t>
            </w:r>
          </w:p>
        </w:tc>
      </w:tr>
      <w:tr w:rsidR="00EF7001" w:rsidRPr="00F811EF" w14:paraId="760D1A9D" w14:textId="77777777" w:rsidTr="0047493C">
        <w:trPr>
          <w:jc w:val="center"/>
        </w:trPr>
        <w:tc>
          <w:tcPr>
            <w:tcW w:w="917" w:type="pct"/>
            <w:tcBorders>
              <w:bottom w:val="single" w:sz="4" w:space="0" w:color="auto"/>
            </w:tcBorders>
            <w:vAlign w:val="center"/>
          </w:tcPr>
          <w:p w14:paraId="35214C82" w14:textId="77777777" w:rsidR="00CE0D5A" w:rsidRPr="00F811EF" w:rsidRDefault="00CE0D5A" w:rsidP="0047493C">
            <w:pPr>
              <w:spacing w:after="0"/>
              <w:rPr>
                <w:i/>
                <w:sz w:val="20"/>
                <w:szCs w:val="20"/>
              </w:rPr>
            </w:pPr>
            <w:r w:rsidRPr="00F811EF">
              <w:rPr>
                <w:i/>
                <w:sz w:val="20"/>
                <w:szCs w:val="20"/>
              </w:rPr>
              <w:t xml:space="preserve">TOTAL </w:t>
            </w:r>
          </w:p>
        </w:tc>
        <w:tc>
          <w:tcPr>
            <w:tcW w:w="359" w:type="pct"/>
            <w:tcBorders>
              <w:bottom w:val="single" w:sz="4" w:space="0" w:color="auto"/>
            </w:tcBorders>
          </w:tcPr>
          <w:p w14:paraId="5980DD95" w14:textId="77777777" w:rsidR="00CE0D5A" w:rsidRPr="00F811EF" w:rsidRDefault="00CE0D5A" w:rsidP="0047493C">
            <w:pPr>
              <w:spacing w:after="0"/>
              <w:jc w:val="center"/>
              <w:rPr>
                <w:sz w:val="20"/>
                <w:szCs w:val="20"/>
              </w:rPr>
            </w:pPr>
            <w:r w:rsidRPr="00F811EF">
              <w:rPr>
                <w:sz w:val="20"/>
                <w:szCs w:val="20"/>
              </w:rPr>
              <w:t>1.189</w:t>
            </w:r>
          </w:p>
        </w:tc>
        <w:tc>
          <w:tcPr>
            <w:tcW w:w="563" w:type="pct"/>
            <w:tcBorders>
              <w:bottom w:val="single" w:sz="4" w:space="0" w:color="auto"/>
            </w:tcBorders>
          </w:tcPr>
          <w:p w14:paraId="3FC18C79" w14:textId="77777777" w:rsidR="00CE0D5A" w:rsidRPr="00F811EF" w:rsidRDefault="00CE0D5A" w:rsidP="0047493C">
            <w:pPr>
              <w:spacing w:after="0"/>
              <w:jc w:val="center"/>
              <w:rPr>
                <w:sz w:val="20"/>
                <w:szCs w:val="20"/>
              </w:rPr>
            </w:pPr>
            <w:r w:rsidRPr="00F811EF">
              <w:rPr>
                <w:sz w:val="20"/>
                <w:szCs w:val="20"/>
              </w:rPr>
              <w:t>5.311</w:t>
            </w:r>
          </w:p>
        </w:tc>
        <w:tc>
          <w:tcPr>
            <w:tcW w:w="443" w:type="pct"/>
            <w:tcBorders>
              <w:bottom w:val="single" w:sz="4" w:space="0" w:color="auto"/>
            </w:tcBorders>
          </w:tcPr>
          <w:p w14:paraId="7F36D4A5" w14:textId="77777777" w:rsidR="00CE0D5A" w:rsidRPr="00F811EF" w:rsidRDefault="00CE0D5A" w:rsidP="0047493C">
            <w:pPr>
              <w:spacing w:after="0"/>
              <w:jc w:val="center"/>
              <w:rPr>
                <w:sz w:val="20"/>
                <w:szCs w:val="20"/>
              </w:rPr>
            </w:pPr>
            <w:r w:rsidRPr="00F811EF">
              <w:rPr>
                <w:sz w:val="20"/>
                <w:szCs w:val="20"/>
              </w:rPr>
              <w:t>6.500</w:t>
            </w:r>
          </w:p>
        </w:tc>
        <w:tc>
          <w:tcPr>
            <w:tcW w:w="734" w:type="pct"/>
            <w:tcBorders>
              <w:bottom w:val="single" w:sz="4" w:space="0" w:color="auto"/>
            </w:tcBorders>
          </w:tcPr>
          <w:p w14:paraId="7588C436" w14:textId="77777777" w:rsidR="00CE0D5A" w:rsidRPr="00F811EF" w:rsidRDefault="00CE0D5A" w:rsidP="0047493C">
            <w:pPr>
              <w:spacing w:after="0"/>
              <w:jc w:val="center"/>
              <w:rPr>
                <w:sz w:val="20"/>
                <w:szCs w:val="20"/>
              </w:rPr>
            </w:pPr>
            <w:r w:rsidRPr="00F811EF">
              <w:rPr>
                <w:sz w:val="20"/>
                <w:szCs w:val="20"/>
              </w:rPr>
              <w:t>25.979.248</w:t>
            </w:r>
          </w:p>
        </w:tc>
        <w:tc>
          <w:tcPr>
            <w:tcW w:w="923" w:type="pct"/>
            <w:tcBorders>
              <w:bottom w:val="single" w:sz="4" w:space="0" w:color="auto"/>
            </w:tcBorders>
          </w:tcPr>
          <w:p w14:paraId="1ADC38A4" w14:textId="77777777" w:rsidR="00CE0D5A" w:rsidRPr="00F811EF" w:rsidRDefault="00CE0D5A" w:rsidP="0047493C">
            <w:pPr>
              <w:spacing w:after="0"/>
              <w:jc w:val="center"/>
              <w:rPr>
                <w:sz w:val="20"/>
                <w:szCs w:val="20"/>
              </w:rPr>
            </w:pPr>
            <w:r w:rsidRPr="00F811EF">
              <w:rPr>
                <w:sz w:val="20"/>
                <w:szCs w:val="20"/>
              </w:rPr>
              <w:t>162,37</w:t>
            </w:r>
          </w:p>
        </w:tc>
        <w:tc>
          <w:tcPr>
            <w:tcW w:w="1060" w:type="pct"/>
            <w:tcBorders>
              <w:bottom w:val="single" w:sz="4" w:space="0" w:color="auto"/>
            </w:tcBorders>
          </w:tcPr>
          <w:p w14:paraId="0D75AA26" w14:textId="77777777" w:rsidR="00CE0D5A" w:rsidRPr="00F811EF" w:rsidRDefault="00CE0D5A" w:rsidP="0047493C">
            <w:pPr>
              <w:spacing w:after="0"/>
              <w:jc w:val="center"/>
              <w:rPr>
                <w:sz w:val="20"/>
                <w:szCs w:val="20"/>
              </w:rPr>
            </w:pPr>
            <w:r w:rsidRPr="00F811EF">
              <w:rPr>
                <w:sz w:val="20"/>
                <w:szCs w:val="20"/>
              </w:rPr>
              <w:t>1,00</w:t>
            </w:r>
          </w:p>
        </w:tc>
      </w:tr>
    </w:tbl>
    <w:p w14:paraId="74A8ABBE" w14:textId="77777777" w:rsidR="00F811EF" w:rsidRPr="00FF70B0" w:rsidRDefault="00F811EF" w:rsidP="00337441"/>
    <w:p w14:paraId="05D190BD" w14:textId="77777777" w:rsidR="00DA1B6D" w:rsidRPr="0047493C" w:rsidRDefault="00D41772" w:rsidP="0047493C">
      <w:pPr>
        <w:pStyle w:val="Ttulo1"/>
        <w:numPr>
          <w:ilvl w:val="0"/>
          <w:numId w:val="2"/>
        </w:numPr>
        <w:spacing w:before="240"/>
        <w:ind w:left="360" w:hanging="360"/>
        <w:rPr>
          <w:rFonts w:eastAsia="Times New Roman" w:cs="Times New Roman"/>
          <w:lang w:eastAsia="es-ES"/>
        </w:rPr>
      </w:pPr>
      <w:r w:rsidRPr="0047493C">
        <w:rPr>
          <w:rFonts w:eastAsia="Times New Roman" w:cs="Times New Roman"/>
          <w:lang w:eastAsia="es-ES"/>
        </w:rPr>
        <w:t>RESULTADOS</w:t>
      </w:r>
      <w:r w:rsidR="00295BB5" w:rsidRPr="0047493C">
        <w:rPr>
          <w:rFonts w:eastAsia="Times New Roman" w:cs="Times New Roman"/>
          <w:lang w:eastAsia="es-ES"/>
        </w:rPr>
        <w:t xml:space="preserve"> </w:t>
      </w:r>
    </w:p>
    <w:p w14:paraId="468F6738" w14:textId="0B589FD4" w:rsidR="00902F8D" w:rsidRDefault="00945682" w:rsidP="005F6CFE">
      <w:r>
        <w:t>Los resultados obtenidos de las metodologías evaluadas</w:t>
      </w:r>
      <w:r w:rsidRPr="00600663">
        <w:t xml:space="preserve"> </w:t>
      </w:r>
      <w:r>
        <w:t>se representan</w:t>
      </w:r>
      <w:r w:rsidRPr="00600663">
        <w:t xml:space="preserve"> </w:t>
      </w:r>
      <w:r>
        <w:t>en la Figura 2.</w:t>
      </w:r>
      <w:r w:rsidR="00FF70B0">
        <w:t xml:space="preserve"> </w:t>
      </w:r>
      <w:r>
        <w:t>E</w:t>
      </w:r>
      <w:r w:rsidRPr="00600663">
        <w:t xml:space="preserve">n la </w:t>
      </w:r>
      <w:r>
        <w:t>T</w:t>
      </w:r>
      <w:r w:rsidRPr="00600663">
        <w:t>abla 4</w:t>
      </w:r>
      <w:r>
        <w:t xml:space="preserve"> se recogen los valores de </w:t>
      </w:r>
      <w:r w:rsidR="00AD405F" w:rsidRPr="00AD405F">
        <w:t>exactitud</w:t>
      </w:r>
      <w:r w:rsidR="00AD405F" w:rsidRPr="00600663">
        <w:t xml:space="preserve"> </w:t>
      </w:r>
      <w:r w:rsidR="00B21295">
        <w:t>global</w:t>
      </w:r>
      <w:r w:rsidR="00902F8D" w:rsidRPr="00600663">
        <w:t>, de</w:t>
      </w:r>
      <w:r w:rsidR="00F811EF">
        <w:t>l</w:t>
      </w:r>
      <w:r w:rsidR="00902F8D" w:rsidRPr="00600663">
        <w:t xml:space="preserve"> usuario y de</w:t>
      </w:r>
      <w:r w:rsidR="00F811EF">
        <w:t>l</w:t>
      </w:r>
      <w:r>
        <w:t xml:space="preserve"> productor</w:t>
      </w:r>
      <w:r w:rsidR="00902F8D" w:rsidRPr="00600663">
        <w:t>.</w:t>
      </w:r>
    </w:p>
    <w:p w14:paraId="06779A5A" w14:textId="77777777" w:rsidR="00B21295" w:rsidRDefault="00B21295" w:rsidP="005F6CFE"/>
    <w:p w14:paraId="35691B5B" w14:textId="77777777" w:rsidR="00665396" w:rsidRPr="00600663" w:rsidRDefault="00665396" w:rsidP="00665396">
      <w:pPr>
        <w:jc w:val="center"/>
        <w:rPr>
          <w:sz w:val="18"/>
        </w:rPr>
      </w:pPr>
      <w:r w:rsidRPr="00600663">
        <w:rPr>
          <w:b/>
          <w:sz w:val="18"/>
        </w:rPr>
        <w:t xml:space="preserve">Tabla 4. </w:t>
      </w:r>
      <w:r w:rsidR="00F811EF">
        <w:rPr>
          <w:sz w:val="18"/>
        </w:rPr>
        <w:t>Exactitudes de las clasificaciones evaluadas</w:t>
      </w:r>
      <w:r w:rsidR="00AD17CA" w:rsidRPr="00600663">
        <w:rPr>
          <w:sz w:val="18"/>
        </w:rPr>
        <w:t>.</w:t>
      </w:r>
    </w:p>
    <w:tbl>
      <w:tblPr>
        <w:tblStyle w:val="Tablaconcuadrcula"/>
        <w:tblW w:w="0" w:type="auto"/>
        <w:jc w:val="center"/>
        <w:tblLook w:val="04A0" w:firstRow="1" w:lastRow="0" w:firstColumn="1" w:lastColumn="0" w:noHBand="0" w:noVBand="1"/>
      </w:tblPr>
      <w:tblGrid>
        <w:gridCol w:w="3049"/>
        <w:gridCol w:w="1801"/>
        <w:gridCol w:w="952"/>
        <w:gridCol w:w="797"/>
        <w:gridCol w:w="1199"/>
      </w:tblGrid>
      <w:tr w:rsidR="00E65C50" w:rsidRPr="00BB01DC" w14:paraId="1210C403" w14:textId="77777777" w:rsidTr="0047493C">
        <w:trPr>
          <w:jc w:val="center"/>
        </w:trPr>
        <w:tc>
          <w:tcPr>
            <w:tcW w:w="4850" w:type="dxa"/>
            <w:gridSpan w:val="2"/>
            <w:vMerge w:val="restart"/>
            <w:tcBorders>
              <w:top w:val="nil"/>
              <w:left w:val="nil"/>
            </w:tcBorders>
          </w:tcPr>
          <w:p w14:paraId="1C4B2F6D" w14:textId="77777777" w:rsidR="00E65C50" w:rsidRPr="00BB01DC" w:rsidRDefault="00E65C50" w:rsidP="0047493C">
            <w:pPr>
              <w:spacing w:after="0"/>
              <w:rPr>
                <w:i/>
                <w:sz w:val="20"/>
              </w:rPr>
            </w:pPr>
          </w:p>
        </w:tc>
        <w:tc>
          <w:tcPr>
            <w:tcW w:w="0" w:type="auto"/>
            <w:gridSpan w:val="3"/>
            <w:vAlign w:val="center"/>
          </w:tcPr>
          <w:p w14:paraId="0B673960" w14:textId="77777777" w:rsidR="00E65C50" w:rsidRPr="00BB01DC" w:rsidRDefault="00E65C50" w:rsidP="0047493C">
            <w:pPr>
              <w:spacing w:after="0"/>
              <w:jc w:val="center"/>
              <w:rPr>
                <w:i/>
                <w:sz w:val="20"/>
              </w:rPr>
            </w:pPr>
            <w:r w:rsidRPr="00BB01DC">
              <w:rPr>
                <w:i/>
                <w:sz w:val="20"/>
              </w:rPr>
              <w:t>CLASIFICACIONES</w:t>
            </w:r>
          </w:p>
        </w:tc>
      </w:tr>
      <w:tr w:rsidR="00E65C50" w:rsidRPr="00BB01DC" w14:paraId="4644B27E" w14:textId="77777777" w:rsidTr="0047493C">
        <w:trPr>
          <w:jc w:val="center"/>
        </w:trPr>
        <w:tc>
          <w:tcPr>
            <w:tcW w:w="4850" w:type="dxa"/>
            <w:gridSpan w:val="2"/>
            <w:vMerge/>
            <w:tcBorders>
              <w:left w:val="nil"/>
            </w:tcBorders>
          </w:tcPr>
          <w:p w14:paraId="283C5A0B" w14:textId="77777777" w:rsidR="00E65C50" w:rsidRPr="00BB01DC" w:rsidRDefault="00E65C50" w:rsidP="0047493C">
            <w:pPr>
              <w:spacing w:after="0"/>
              <w:rPr>
                <w:sz w:val="20"/>
              </w:rPr>
            </w:pPr>
          </w:p>
        </w:tc>
        <w:tc>
          <w:tcPr>
            <w:tcW w:w="952" w:type="dxa"/>
            <w:vAlign w:val="center"/>
          </w:tcPr>
          <w:p w14:paraId="2E571F41" w14:textId="77777777" w:rsidR="00E65C50" w:rsidRPr="00BB01DC" w:rsidRDefault="00E65C50" w:rsidP="0047493C">
            <w:pPr>
              <w:spacing w:after="0"/>
              <w:jc w:val="center"/>
              <w:rPr>
                <w:i/>
                <w:sz w:val="20"/>
              </w:rPr>
            </w:pPr>
            <w:r w:rsidRPr="00BB01DC">
              <w:rPr>
                <w:i/>
                <w:sz w:val="20"/>
              </w:rPr>
              <w:t>LIDAR</w:t>
            </w:r>
          </w:p>
        </w:tc>
        <w:tc>
          <w:tcPr>
            <w:tcW w:w="797" w:type="dxa"/>
            <w:vAlign w:val="center"/>
          </w:tcPr>
          <w:p w14:paraId="5F56D07C" w14:textId="77777777" w:rsidR="00E65C50" w:rsidRPr="00BB01DC" w:rsidRDefault="00E65C50" w:rsidP="0047493C">
            <w:pPr>
              <w:spacing w:after="0"/>
              <w:jc w:val="center"/>
              <w:rPr>
                <w:i/>
                <w:sz w:val="20"/>
              </w:rPr>
            </w:pPr>
            <w:r w:rsidRPr="00BB01DC">
              <w:rPr>
                <w:i/>
                <w:sz w:val="20"/>
              </w:rPr>
              <w:t>OBIA</w:t>
            </w:r>
          </w:p>
        </w:tc>
        <w:tc>
          <w:tcPr>
            <w:tcW w:w="1199" w:type="dxa"/>
            <w:vAlign w:val="center"/>
          </w:tcPr>
          <w:p w14:paraId="20891704" w14:textId="77777777" w:rsidR="00E65C50" w:rsidRPr="00BB01DC" w:rsidRDefault="00E65C50" w:rsidP="0047493C">
            <w:pPr>
              <w:spacing w:after="0"/>
              <w:jc w:val="center"/>
              <w:rPr>
                <w:i/>
                <w:sz w:val="20"/>
              </w:rPr>
            </w:pPr>
            <w:r w:rsidRPr="00BB01DC">
              <w:rPr>
                <w:i/>
                <w:sz w:val="20"/>
              </w:rPr>
              <w:t>OBIA</w:t>
            </w:r>
            <w:r w:rsidR="0080506D" w:rsidRPr="00BB01DC">
              <w:rPr>
                <w:i/>
                <w:sz w:val="20"/>
              </w:rPr>
              <w:t>+</w:t>
            </w:r>
            <w:r w:rsidRPr="00BB01DC">
              <w:rPr>
                <w:i/>
                <w:sz w:val="20"/>
              </w:rPr>
              <w:t>L</w:t>
            </w:r>
            <w:r w:rsidR="0080506D" w:rsidRPr="00BB01DC">
              <w:rPr>
                <w:i/>
                <w:sz w:val="20"/>
              </w:rPr>
              <w:t>i</w:t>
            </w:r>
            <w:r w:rsidRPr="00BB01DC">
              <w:rPr>
                <w:i/>
                <w:sz w:val="20"/>
              </w:rPr>
              <w:t>DAR</w:t>
            </w:r>
          </w:p>
        </w:tc>
      </w:tr>
      <w:tr w:rsidR="002C2141" w:rsidRPr="00BB01DC" w14:paraId="020CA445" w14:textId="77777777" w:rsidTr="0047493C">
        <w:trPr>
          <w:jc w:val="center"/>
        </w:trPr>
        <w:tc>
          <w:tcPr>
            <w:tcW w:w="3049" w:type="dxa"/>
            <w:vMerge w:val="restart"/>
            <w:vAlign w:val="center"/>
          </w:tcPr>
          <w:p w14:paraId="548074E6" w14:textId="77777777" w:rsidR="002C2141" w:rsidRPr="00BB01DC" w:rsidRDefault="00AD405F" w:rsidP="0047493C">
            <w:pPr>
              <w:spacing w:after="0"/>
              <w:rPr>
                <w:i/>
                <w:sz w:val="20"/>
              </w:rPr>
            </w:pPr>
            <w:r w:rsidRPr="00BB01DC">
              <w:rPr>
                <w:i/>
                <w:sz w:val="20"/>
              </w:rPr>
              <w:t>EXACTITUD</w:t>
            </w:r>
            <w:r w:rsidR="002C2141" w:rsidRPr="00BB01DC">
              <w:rPr>
                <w:i/>
                <w:sz w:val="20"/>
              </w:rPr>
              <w:t xml:space="preserve"> DEL USUARIO</w:t>
            </w:r>
            <w:r w:rsidR="00641339" w:rsidRPr="00BB01DC">
              <w:rPr>
                <w:i/>
                <w:sz w:val="20"/>
              </w:rPr>
              <w:t xml:space="preserve"> (%)</w:t>
            </w:r>
          </w:p>
        </w:tc>
        <w:tc>
          <w:tcPr>
            <w:tcW w:w="1801" w:type="dxa"/>
            <w:vAlign w:val="center"/>
          </w:tcPr>
          <w:p w14:paraId="5F116F53" w14:textId="77777777" w:rsidR="002C2141" w:rsidRPr="00BB01DC" w:rsidRDefault="002C2141" w:rsidP="0047493C">
            <w:pPr>
              <w:spacing w:after="0"/>
              <w:rPr>
                <w:i/>
                <w:sz w:val="20"/>
              </w:rPr>
            </w:pPr>
            <w:r w:rsidRPr="00BB01DC">
              <w:rPr>
                <w:i/>
                <w:sz w:val="20"/>
              </w:rPr>
              <w:t>COPA</w:t>
            </w:r>
          </w:p>
        </w:tc>
        <w:tc>
          <w:tcPr>
            <w:tcW w:w="952" w:type="dxa"/>
            <w:vAlign w:val="center"/>
          </w:tcPr>
          <w:p w14:paraId="3AE89FD7" w14:textId="77777777" w:rsidR="002C2141" w:rsidRPr="00BB01DC" w:rsidRDefault="002C2141" w:rsidP="0047493C">
            <w:pPr>
              <w:spacing w:after="0"/>
              <w:jc w:val="center"/>
              <w:rPr>
                <w:sz w:val="20"/>
              </w:rPr>
            </w:pPr>
            <w:r w:rsidRPr="00BB01DC">
              <w:rPr>
                <w:sz w:val="20"/>
              </w:rPr>
              <w:t>80,0</w:t>
            </w:r>
            <w:r w:rsidR="00AD17CA" w:rsidRPr="00BB01DC">
              <w:rPr>
                <w:sz w:val="20"/>
              </w:rPr>
              <w:t>2</w:t>
            </w:r>
          </w:p>
        </w:tc>
        <w:tc>
          <w:tcPr>
            <w:tcW w:w="797" w:type="dxa"/>
            <w:vAlign w:val="center"/>
          </w:tcPr>
          <w:p w14:paraId="0948C909" w14:textId="77777777" w:rsidR="002C2141" w:rsidRPr="00BB01DC" w:rsidRDefault="002C2141" w:rsidP="0047493C">
            <w:pPr>
              <w:spacing w:after="0"/>
              <w:jc w:val="center"/>
              <w:rPr>
                <w:sz w:val="20"/>
              </w:rPr>
            </w:pPr>
            <w:r w:rsidRPr="00BB01DC">
              <w:rPr>
                <w:sz w:val="20"/>
              </w:rPr>
              <w:t>87,8</w:t>
            </w:r>
            <w:r w:rsidR="00AD17CA" w:rsidRPr="00BB01DC">
              <w:rPr>
                <w:sz w:val="20"/>
              </w:rPr>
              <w:t>1</w:t>
            </w:r>
          </w:p>
        </w:tc>
        <w:tc>
          <w:tcPr>
            <w:tcW w:w="1199" w:type="dxa"/>
            <w:vAlign w:val="center"/>
          </w:tcPr>
          <w:p w14:paraId="48550E26" w14:textId="77777777" w:rsidR="002C2141" w:rsidRPr="00BB01DC" w:rsidRDefault="002C2141" w:rsidP="0047493C">
            <w:pPr>
              <w:spacing w:after="0"/>
              <w:jc w:val="center"/>
              <w:rPr>
                <w:sz w:val="20"/>
              </w:rPr>
            </w:pPr>
            <w:r w:rsidRPr="00BB01DC">
              <w:rPr>
                <w:sz w:val="20"/>
              </w:rPr>
              <w:t>86</w:t>
            </w:r>
            <w:r w:rsidR="00AD17CA" w:rsidRPr="00BB01DC">
              <w:rPr>
                <w:sz w:val="20"/>
              </w:rPr>
              <w:t>,00</w:t>
            </w:r>
          </w:p>
        </w:tc>
      </w:tr>
      <w:tr w:rsidR="002C2141" w:rsidRPr="00BB01DC" w14:paraId="61785503" w14:textId="77777777" w:rsidTr="0047493C">
        <w:trPr>
          <w:jc w:val="center"/>
        </w:trPr>
        <w:tc>
          <w:tcPr>
            <w:tcW w:w="3049" w:type="dxa"/>
            <w:vMerge/>
            <w:vAlign w:val="center"/>
          </w:tcPr>
          <w:p w14:paraId="3A06A416" w14:textId="77777777" w:rsidR="002C2141" w:rsidRPr="00BB01DC" w:rsidRDefault="002C2141" w:rsidP="0047493C">
            <w:pPr>
              <w:spacing w:after="0"/>
              <w:rPr>
                <w:i/>
                <w:sz w:val="20"/>
              </w:rPr>
            </w:pPr>
          </w:p>
        </w:tc>
        <w:tc>
          <w:tcPr>
            <w:tcW w:w="1801" w:type="dxa"/>
            <w:vAlign w:val="center"/>
          </w:tcPr>
          <w:p w14:paraId="2BD1C29A" w14:textId="77777777" w:rsidR="002C2141" w:rsidRPr="00BB01DC" w:rsidRDefault="002C2141" w:rsidP="0047493C">
            <w:pPr>
              <w:spacing w:after="0"/>
              <w:rPr>
                <w:i/>
                <w:sz w:val="20"/>
              </w:rPr>
            </w:pPr>
            <w:r w:rsidRPr="00BB01DC">
              <w:rPr>
                <w:i/>
                <w:sz w:val="20"/>
              </w:rPr>
              <w:t>DISTINTO DE COPA</w:t>
            </w:r>
          </w:p>
        </w:tc>
        <w:tc>
          <w:tcPr>
            <w:tcW w:w="952" w:type="dxa"/>
            <w:vAlign w:val="center"/>
          </w:tcPr>
          <w:p w14:paraId="292359ED" w14:textId="77777777" w:rsidR="002C2141" w:rsidRPr="00BB01DC" w:rsidRDefault="002C2141" w:rsidP="0047493C">
            <w:pPr>
              <w:spacing w:after="0"/>
              <w:jc w:val="center"/>
              <w:rPr>
                <w:sz w:val="20"/>
              </w:rPr>
            </w:pPr>
            <w:r w:rsidRPr="00BB01DC">
              <w:rPr>
                <w:sz w:val="20"/>
              </w:rPr>
              <w:t>97,</w:t>
            </w:r>
            <w:r w:rsidR="00AD17CA" w:rsidRPr="00BB01DC">
              <w:rPr>
                <w:sz w:val="20"/>
              </w:rPr>
              <w:t>08</w:t>
            </w:r>
          </w:p>
        </w:tc>
        <w:tc>
          <w:tcPr>
            <w:tcW w:w="797" w:type="dxa"/>
            <w:vAlign w:val="center"/>
          </w:tcPr>
          <w:p w14:paraId="4C3D939E" w14:textId="77777777" w:rsidR="002C2141" w:rsidRPr="00BB01DC" w:rsidRDefault="00AD17CA" w:rsidP="0047493C">
            <w:pPr>
              <w:spacing w:after="0"/>
              <w:jc w:val="center"/>
              <w:rPr>
                <w:sz w:val="20"/>
              </w:rPr>
            </w:pPr>
            <w:r w:rsidRPr="00BB01DC">
              <w:rPr>
                <w:sz w:val="20"/>
              </w:rPr>
              <w:t>98,47</w:t>
            </w:r>
          </w:p>
        </w:tc>
        <w:tc>
          <w:tcPr>
            <w:tcW w:w="1199" w:type="dxa"/>
            <w:vAlign w:val="center"/>
          </w:tcPr>
          <w:p w14:paraId="7154E8EA" w14:textId="77777777" w:rsidR="002C2141" w:rsidRPr="00BB01DC" w:rsidRDefault="002C2141" w:rsidP="0047493C">
            <w:pPr>
              <w:spacing w:after="0"/>
              <w:jc w:val="center"/>
              <w:rPr>
                <w:sz w:val="20"/>
              </w:rPr>
            </w:pPr>
            <w:r w:rsidRPr="00BB01DC">
              <w:rPr>
                <w:sz w:val="20"/>
              </w:rPr>
              <w:t>98,4</w:t>
            </w:r>
            <w:r w:rsidR="00AD17CA" w:rsidRPr="00BB01DC">
              <w:rPr>
                <w:sz w:val="20"/>
              </w:rPr>
              <w:t>1</w:t>
            </w:r>
          </w:p>
        </w:tc>
      </w:tr>
      <w:tr w:rsidR="002C2141" w:rsidRPr="00BB01DC" w14:paraId="35F9D8C7" w14:textId="77777777" w:rsidTr="0047493C">
        <w:trPr>
          <w:jc w:val="center"/>
        </w:trPr>
        <w:tc>
          <w:tcPr>
            <w:tcW w:w="3049" w:type="dxa"/>
            <w:vMerge w:val="restart"/>
            <w:vAlign w:val="center"/>
          </w:tcPr>
          <w:p w14:paraId="6062459B" w14:textId="77777777" w:rsidR="002C2141" w:rsidRPr="00BB01DC" w:rsidRDefault="00AD405F" w:rsidP="0047493C">
            <w:pPr>
              <w:spacing w:after="0"/>
              <w:rPr>
                <w:i/>
                <w:sz w:val="20"/>
              </w:rPr>
            </w:pPr>
            <w:r w:rsidRPr="00BB01DC">
              <w:rPr>
                <w:i/>
                <w:sz w:val="20"/>
              </w:rPr>
              <w:t xml:space="preserve">EXACTITUD </w:t>
            </w:r>
            <w:r w:rsidR="002C2141" w:rsidRPr="00BB01DC">
              <w:rPr>
                <w:i/>
                <w:sz w:val="20"/>
              </w:rPr>
              <w:t>DEL PRODUCTOR</w:t>
            </w:r>
            <w:r w:rsidR="00641339" w:rsidRPr="00BB01DC">
              <w:rPr>
                <w:i/>
                <w:sz w:val="20"/>
              </w:rPr>
              <w:t xml:space="preserve"> (%)</w:t>
            </w:r>
          </w:p>
        </w:tc>
        <w:tc>
          <w:tcPr>
            <w:tcW w:w="1801" w:type="dxa"/>
            <w:vAlign w:val="center"/>
          </w:tcPr>
          <w:p w14:paraId="35152C44" w14:textId="77777777" w:rsidR="002C2141" w:rsidRPr="00BB01DC" w:rsidRDefault="002C2141" w:rsidP="0047493C">
            <w:pPr>
              <w:spacing w:after="0"/>
              <w:rPr>
                <w:i/>
                <w:sz w:val="20"/>
              </w:rPr>
            </w:pPr>
            <w:r w:rsidRPr="00BB01DC">
              <w:rPr>
                <w:i/>
                <w:sz w:val="20"/>
              </w:rPr>
              <w:t>COPA</w:t>
            </w:r>
          </w:p>
        </w:tc>
        <w:tc>
          <w:tcPr>
            <w:tcW w:w="952" w:type="dxa"/>
            <w:vAlign w:val="center"/>
          </w:tcPr>
          <w:p w14:paraId="08500832" w14:textId="77777777" w:rsidR="002C2141" w:rsidRPr="00BB01DC" w:rsidRDefault="00AD17CA" w:rsidP="0047493C">
            <w:pPr>
              <w:spacing w:after="0"/>
              <w:jc w:val="center"/>
              <w:rPr>
                <w:sz w:val="20"/>
              </w:rPr>
            </w:pPr>
            <w:r w:rsidRPr="00BB01DC">
              <w:rPr>
                <w:sz w:val="20"/>
              </w:rPr>
              <w:t>86,89</w:t>
            </w:r>
          </w:p>
        </w:tc>
        <w:tc>
          <w:tcPr>
            <w:tcW w:w="797" w:type="dxa"/>
            <w:vAlign w:val="center"/>
          </w:tcPr>
          <w:p w14:paraId="01571154" w14:textId="77777777" w:rsidR="002C2141" w:rsidRPr="00BB01DC" w:rsidRDefault="00AD17CA" w:rsidP="0047493C">
            <w:pPr>
              <w:spacing w:after="0"/>
              <w:jc w:val="center"/>
              <w:rPr>
                <w:sz w:val="20"/>
              </w:rPr>
            </w:pPr>
            <w:r w:rsidRPr="00BB01DC">
              <w:rPr>
                <w:sz w:val="20"/>
              </w:rPr>
              <w:t>92,98</w:t>
            </w:r>
          </w:p>
        </w:tc>
        <w:tc>
          <w:tcPr>
            <w:tcW w:w="1199" w:type="dxa"/>
            <w:vAlign w:val="center"/>
          </w:tcPr>
          <w:p w14:paraId="0440689C" w14:textId="77777777" w:rsidR="002C2141" w:rsidRPr="00BB01DC" w:rsidRDefault="00AD17CA" w:rsidP="0047493C">
            <w:pPr>
              <w:spacing w:after="0"/>
              <w:jc w:val="center"/>
              <w:rPr>
                <w:sz w:val="20"/>
              </w:rPr>
            </w:pPr>
            <w:r w:rsidRPr="00BB01DC">
              <w:rPr>
                <w:sz w:val="20"/>
              </w:rPr>
              <w:t>93,02</w:t>
            </w:r>
          </w:p>
        </w:tc>
      </w:tr>
      <w:tr w:rsidR="002C2141" w:rsidRPr="00BB01DC" w14:paraId="000D9E45" w14:textId="77777777" w:rsidTr="0047493C">
        <w:trPr>
          <w:jc w:val="center"/>
        </w:trPr>
        <w:tc>
          <w:tcPr>
            <w:tcW w:w="3049" w:type="dxa"/>
            <w:vMerge/>
            <w:vAlign w:val="center"/>
          </w:tcPr>
          <w:p w14:paraId="4CFE20CB" w14:textId="77777777" w:rsidR="002C2141" w:rsidRPr="00BB01DC" w:rsidRDefault="002C2141" w:rsidP="0047493C">
            <w:pPr>
              <w:spacing w:after="0"/>
              <w:rPr>
                <w:i/>
                <w:sz w:val="20"/>
              </w:rPr>
            </w:pPr>
          </w:p>
        </w:tc>
        <w:tc>
          <w:tcPr>
            <w:tcW w:w="1801" w:type="dxa"/>
            <w:vAlign w:val="center"/>
          </w:tcPr>
          <w:p w14:paraId="4C3CE5CF" w14:textId="77777777" w:rsidR="002C2141" w:rsidRPr="00BB01DC" w:rsidRDefault="002C2141" w:rsidP="0047493C">
            <w:pPr>
              <w:spacing w:after="0"/>
              <w:rPr>
                <w:i/>
                <w:sz w:val="20"/>
              </w:rPr>
            </w:pPr>
            <w:r w:rsidRPr="00BB01DC">
              <w:rPr>
                <w:i/>
                <w:sz w:val="20"/>
              </w:rPr>
              <w:t>DISTINTO DE COPA</w:t>
            </w:r>
          </w:p>
        </w:tc>
        <w:tc>
          <w:tcPr>
            <w:tcW w:w="952" w:type="dxa"/>
            <w:vAlign w:val="center"/>
          </w:tcPr>
          <w:p w14:paraId="57491CC6" w14:textId="77777777" w:rsidR="002C2141" w:rsidRPr="00BB01DC" w:rsidRDefault="00AD17CA" w:rsidP="0047493C">
            <w:pPr>
              <w:spacing w:after="0"/>
              <w:jc w:val="center"/>
              <w:rPr>
                <w:sz w:val="20"/>
              </w:rPr>
            </w:pPr>
            <w:r w:rsidRPr="00BB01DC">
              <w:rPr>
                <w:sz w:val="20"/>
              </w:rPr>
              <w:t>92,25</w:t>
            </w:r>
          </w:p>
        </w:tc>
        <w:tc>
          <w:tcPr>
            <w:tcW w:w="797" w:type="dxa"/>
            <w:vAlign w:val="center"/>
          </w:tcPr>
          <w:p w14:paraId="2AE1CB52" w14:textId="77777777" w:rsidR="002C2141" w:rsidRPr="00BB01DC" w:rsidRDefault="00AD17CA" w:rsidP="0047493C">
            <w:pPr>
              <w:spacing w:after="0"/>
              <w:jc w:val="center"/>
              <w:rPr>
                <w:sz w:val="20"/>
              </w:rPr>
            </w:pPr>
            <w:r w:rsidRPr="00BB01DC">
              <w:rPr>
                <w:sz w:val="20"/>
              </w:rPr>
              <w:t>97,23</w:t>
            </w:r>
          </w:p>
        </w:tc>
        <w:tc>
          <w:tcPr>
            <w:tcW w:w="1199" w:type="dxa"/>
            <w:vAlign w:val="center"/>
          </w:tcPr>
          <w:p w14:paraId="3341D824" w14:textId="77777777" w:rsidR="002C2141" w:rsidRPr="00BB01DC" w:rsidRDefault="00AD17CA" w:rsidP="0047493C">
            <w:pPr>
              <w:spacing w:after="0"/>
              <w:jc w:val="center"/>
              <w:rPr>
                <w:sz w:val="20"/>
              </w:rPr>
            </w:pPr>
            <w:r w:rsidRPr="00BB01DC">
              <w:rPr>
                <w:sz w:val="20"/>
              </w:rPr>
              <w:t>96,61</w:t>
            </w:r>
          </w:p>
        </w:tc>
      </w:tr>
      <w:tr w:rsidR="002C2141" w:rsidRPr="00BB01DC" w14:paraId="55C02C72" w14:textId="77777777" w:rsidTr="0047493C">
        <w:trPr>
          <w:jc w:val="center"/>
        </w:trPr>
        <w:tc>
          <w:tcPr>
            <w:tcW w:w="4850" w:type="dxa"/>
            <w:gridSpan w:val="2"/>
            <w:vAlign w:val="center"/>
          </w:tcPr>
          <w:p w14:paraId="257D7198" w14:textId="77777777" w:rsidR="002C2141" w:rsidRPr="00BB01DC" w:rsidRDefault="00AD405F" w:rsidP="0047493C">
            <w:pPr>
              <w:spacing w:after="0"/>
              <w:rPr>
                <w:i/>
                <w:sz w:val="20"/>
              </w:rPr>
            </w:pPr>
            <w:r w:rsidRPr="00BB01DC">
              <w:rPr>
                <w:i/>
                <w:sz w:val="20"/>
              </w:rPr>
              <w:t xml:space="preserve">EXACTITUD </w:t>
            </w:r>
            <w:r w:rsidR="00B21295">
              <w:rPr>
                <w:i/>
                <w:sz w:val="20"/>
              </w:rPr>
              <w:t>GLOBAL</w:t>
            </w:r>
            <w:r w:rsidR="00641339" w:rsidRPr="00BB01DC">
              <w:rPr>
                <w:i/>
                <w:sz w:val="20"/>
              </w:rPr>
              <w:t xml:space="preserve"> (%)</w:t>
            </w:r>
          </w:p>
        </w:tc>
        <w:tc>
          <w:tcPr>
            <w:tcW w:w="952" w:type="dxa"/>
            <w:vAlign w:val="center"/>
          </w:tcPr>
          <w:p w14:paraId="587B945C" w14:textId="77777777" w:rsidR="002C2141" w:rsidRPr="00BB01DC" w:rsidRDefault="00AD17CA" w:rsidP="0047493C">
            <w:pPr>
              <w:spacing w:after="0"/>
              <w:jc w:val="center"/>
              <w:rPr>
                <w:sz w:val="20"/>
              </w:rPr>
            </w:pPr>
            <w:r w:rsidRPr="00BB01DC">
              <w:rPr>
                <w:sz w:val="20"/>
              </w:rPr>
              <w:t>93,75</w:t>
            </w:r>
          </w:p>
        </w:tc>
        <w:tc>
          <w:tcPr>
            <w:tcW w:w="797" w:type="dxa"/>
            <w:vAlign w:val="center"/>
          </w:tcPr>
          <w:p w14:paraId="17F7611F" w14:textId="77777777" w:rsidR="002C2141" w:rsidRPr="00BB01DC" w:rsidRDefault="00AD17CA" w:rsidP="0047493C">
            <w:pPr>
              <w:spacing w:after="0"/>
              <w:jc w:val="center"/>
              <w:rPr>
                <w:sz w:val="20"/>
              </w:rPr>
            </w:pPr>
            <w:r w:rsidRPr="00BB01DC">
              <w:rPr>
                <w:sz w:val="20"/>
              </w:rPr>
              <w:t>96,48</w:t>
            </w:r>
          </w:p>
        </w:tc>
        <w:tc>
          <w:tcPr>
            <w:tcW w:w="1199" w:type="dxa"/>
            <w:vAlign w:val="center"/>
          </w:tcPr>
          <w:p w14:paraId="0855919F" w14:textId="77777777" w:rsidR="002C2141" w:rsidRPr="00BB01DC" w:rsidRDefault="00AD17CA" w:rsidP="0047493C">
            <w:pPr>
              <w:spacing w:after="0"/>
              <w:jc w:val="center"/>
              <w:rPr>
                <w:sz w:val="20"/>
              </w:rPr>
            </w:pPr>
            <w:r w:rsidRPr="00BB01DC">
              <w:rPr>
                <w:sz w:val="20"/>
              </w:rPr>
              <w:t>96,05</w:t>
            </w:r>
          </w:p>
        </w:tc>
      </w:tr>
    </w:tbl>
    <w:p w14:paraId="4875E748" w14:textId="77777777" w:rsidR="00AF4DF3" w:rsidRDefault="00AF4DF3" w:rsidP="002C2141"/>
    <w:p w14:paraId="3F0453B4" w14:textId="6043DED9" w:rsidR="00295BB5" w:rsidRDefault="00DA78B4" w:rsidP="002C2141">
      <w:r>
        <w:t xml:space="preserve">De las metodologías evaluadas, la aplicación de datos LiDAR </w:t>
      </w:r>
      <w:r w:rsidR="00F811EF">
        <w:t>resulta la menos exacta</w:t>
      </w:r>
      <w:r>
        <w:t>.</w:t>
      </w:r>
      <w:r w:rsidR="00FF70B0">
        <w:t xml:space="preserve"> </w:t>
      </w:r>
      <w:r w:rsidR="00295BB5">
        <w:t xml:space="preserve">La </w:t>
      </w:r>
      <w:r w:rsidR="00E62160">
        <w:t>C</w:t>
      </w:r>
      <w:r w:rsidR="00295BB5">
        <w:t xml:space="preserve">lasificación </w:t>
      </w:r>
      <w:r w:rsidR="00E62160">
        <w:t xml:space="preserve">Orientada </w:t>
      </w:r>
      <w:r w:rsidR="00295BB5">
        <w:t xml:space="preserve">a </w:t>
      </w:r>
      <w:r w:rsidR="00E62160">
        <w:t xml:space="preserve">Objetos </w:t>
      </w:r>
      <w:r w:rsidR="00295BB5">
        <w:t xml:space="preserve">sobre ortofotografías en falso color infrarrojo obtuvo la mayor </w:t>
      </w:r>
      <w:r w:rsidR="00AD405F" w:rsidRPr="00AD405F">
        <w:t>exactitud</w:t>
      </w:r>
      <w:r w:rsidR="00AD405F" w:rsidRPr="00600663">
        <w:t xml:space="preserve"> </w:t>
      </w:r>
      <w:r w:rsidR="00B21295">
        <w:t>global</w:t>
      </w:r>
      <w:r w:rsidR="00295BB5">
        <w:t xml:space="preserve"> </w:t>
      </w:r>
      <w:r w:rsidR="00DA1B6D">
        <w:t xml:space="preserve">(96,48%) </w:t>
      </w:r>
      <w:r w:rsidR="00295BB5">
        <w:t xml:space="preserve">en la discriminación </w:t>
      </w:r>
      <w:r w:rsidR="00DA1B6D">
        <w:t>de</w:t>
      </w:r>
      <w:r w:rsidR="00295BB5">
        <w:t xml:space="preserve"> los dos estratos vegetales</w:t>
      </w:r>
      <w:r w:rsidR="00DA1B6D">
        <w:t xml:space="preserve"> presentes en el área de estudio. No obstante, la diferencia respecto al resultado obtenido </w:t>
      </w:r>
      <w:r w:rsidR="00F811EF">
        <w:t>de</w:t>
      </w:r>
      <w:r w:rsidR="00DA1B6D">
        <w:t xml:space="preserve"> la combinación de dicha metodología</w:t>
      </w:r>
      <w:r w:rsidR="000A3C0F">
        <w:t xml:space="preserve"> (OBIA)</w:t>
      </w:r>
      <w:r w:rsidR="00DA1B6D">
        <w:t xml:space="preserve"> con datos LiDAR no es significativa, presentando esta última una </w:t>
      </w:r>
      <w:r w:rsidR="00F811EF">
        <w:t>exactitud</w:t>
      </w:r>
      <w:r w:rsidR="00DA1B6D">
        <w:t xml:space="preserve"> </w:t>
      </w:r>
      <w:r w:rsidR="00B21295">
        <w:t>global</w:t>
      </w:r>
      <w:r w:rsidR="00DA1B6D">
        <w:t xml:space="preserve"> del 96,05%, lo que resulta en una diferencia del 0,43% entre las dos metodologías mencionadas.</w:t>
      </w:r>
    </w:p>
    <w:p w14:paraId="7B93EF34" w14:textId="4058BFF0" w:rsidR="00DA78B4" w:rsidRDefault="00105EAE" w:rsidP="008F76E4">
      <w:r>
        <w:t xml:space="preserve">Si </w:t>
      </w:r>
      <w:r w:rsidR="00B21295">
        <w:t xml:space="preserve">se </w:t>
      </w:r>
      <w:r w:rsidR="00E467BD">
        <w:t>contempla</w:t>
      </w:r>
      <w:r>
        <w:t xml:space="preserve"> únicamente la clase “copa” (la necesaria para la determinación de la FCC)</w:t>
      </w:r>
      <w:r w:rsidR="00A401FC">
        <w:t xml:space="preserve">, la </w:t>
      </w:r>
      <w:r w:rsidR="00AD405F" w:rsidRPr="00AD405F">
        <w:t>exactitud</w:t>
      </w:r>
      <w:r w:rsidR="00AD405F" w:rsidRPr="00600663">
        <w:t xml:space="preserve"> </w:t>
      </w:r>
      <w:r w:rsidR="00A401FC">
        <w:t xml:space="preserve">del productor obtenida </w:t>
      </w:r>
      <w:r w:rsidR="005004FD">
        <w:t>con</w:t>
      </w:r>
      <w:r w:rsidR="00A401FC">
        <w:t xml:space="preserve"> la combinación </w:t>
      </w:r>
      <w:r w:rsidR="005004FD">
        <w:t>de metodologías</w:t>
      </w:r>
      <w:r w:rsidR="00A401FC">
        <w:t xml:space="preserve"> (93,02%) es mayor que la derivada de </w:t>
      </w:r>
      <w:r w:rsidR="00DA78B4">
        <w:t xml:space="preserve">la aplicación </w:t>
      </w:r>
      <w:r w:rsidR="00DA78B4">
        <w:lastRenderedPageBreak/>
        <w:t xml:space="preserve">única de la </w:t>
      </w:r>
      <w:r w:rsidR="00E62160">
        <w:t xml:space="preserve">Clasificación Orientada </w:t>
      </w:r>
      <w:r w:rsidR="00DA78B4">
        <w:t xml:space="preserve">a </w:t>
      </w:r>
      <w:r w:rsidR="00E62160">
        <w:t xml:space="preserve">Objetos </w:t>
      </w:r>
      <w:r w:rsidR="00DA78B4">
        <w:t>(</w:t>
      </w:r>
      <w:r w:rsidR="00DA78B4" w:rsidRPr="00600663">
        <w:t>92,98</w:t>
      </w:r>
      <w:r w:rsidR="00DA78B4">
        <w:t xml:space="preserve"> %), resultando nuevamente una diferencia </w:t>
      </w:r>
      <w:r w:rsidR="005004FD">
        <w:t xml:space="preserve">no significativa </w:t>
      </w:r>
      <w:r w:rsidR="00DA78B4">
        <w:t>entre ambas (0,04%).</w:t>
      </w:r>
      <w:r w:rsidR="00FF70B0">
        <w:t xml:space="preserve"> </w:t>
      </w:r>
      <w:r w:rsidR="00DA78B4">
        <w:t xml:space="preserve">En cuanto a la </w:t>
      </w:r>
      <w:r w:rsidR="00AD405F" w:rsidRPr="00AD405F">
        <w:t>exactitud</w:t>
      </w:r>
      <w:r w:rsidR="00AD405F" w:rsidRPr="00600663">
        <w:t xml:space="preserve"> </w:t>
      </w:r>
      <w:r w:rsidR="00DA78B4">
        <w:t>del usuario en la clase “copa”, los mejores resultados se obtiene</w:t>
      </w:r>
      <w:r w:rsidR="00B202A3">
        <w:t>n</w:t>
      </w:r>
      <w:r w:rsidR="00DA78B4">
        <w:t xml:space="preserve"> de la </w:t>
      </w:r>
      <w:r w:rsidR="00741A91">
        <w:t xml:space="preserve">Clasificación Orientada </w:t>
      </w:r>
      <w:r w:rsidR="00DA78B4">
        <w:t xml:space="preserve">a </w:t>
      </w:r>
      <w:r w:rsidR="00741A91">
        <w:t xml:space="preserve">Objetos </w:t>
      </w:r>
      <w:r w:rsidR="00FB563A">
        <w:t>(OBIA)</w:t>
      </w:r>
      <w:r w:rsidR="00DA78B4">
        <w:t>.</w:t>
      </w:r>
    </w:p>
    <w:p w14:paraId="27C83F6B" w14:textId="77777777" w:rsidR="001B0D4E" w:rsidRDefault="001B0D4E" w:rsidP="008F76E4"/>
    <w:p w14:paraId="49B4F60D" w14:textId="093F0DC7" w:rsidR="0060223D" w:rsidRDefault="0060223D" w:rsidP="008F76E4">
      <w:r>
        <w:rPr>
          <w:noProof/>
          <w:lang w:val="es-ES_tradnl" w:eastAsia="es-ES_tradnl"/>
        </w:rPr>
        <w:drawing>
          <wp:inline distT="0" distB="0" distL="0" distR="0" wp14:anchorId="53004FDA" wp14:editId="4E043FC0">
            <wp:extent cx="5600700" cy="7350085"/>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2_3image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603284" cy="7353476"/>
                    </a:xfrm>
                    <a:prstGeom prst="rect">
                      <a:avLst/>
                    </a:prstGeom>
                  </pic:spPr>
                </pic:pic>
              </a:graphicData>
            </a:graphic>
          </wp:inline>
        </w:drawing>
      </w:r>
    </w:p>
    <w:p w14:paraId="3662203A" w14:textId="77777777" w:rsidR="0060223D" w:rsidRDefault="0060223D" w:rsidP="0060223D">
      <w:pPr>
        <w:jc w:val="center"/>
        <w:rPr>
          <w:rFonts w:asciiTheme="minorHAnsi" w:hAnsiTheme="minorHAnsi" w:cstheme="minorHAnsi"/>
          <w:sz w:val="18"/>
          <w:szCs w:val="20"/>
        </w:rPr>
      </w:pPr>
      <w:r>
        <w:rPr>
          <w:rFonts w:asciiTheme="minorHAnsi" w:hAnsiTheme="minorHAnsi" w:cstheme="minorHAnsi"/>
          <w:b/>
          <w:sz w:val="18"/>
          <w:szCs w:val="20"/>
        </w:rPr>
        <w:t>F</w:t>
      </w:r>
      <w:r w:rsidRPr="00600663">
        <w:rPr>
          <w:rFonts w:asciiTheme="minorHAnsi" w:hAnsiTheme="minorHAnsi" w:cstheme="minorHAnsi"/>
          <w:b/>
          <w:sz w:val="18"/>
          <w:szCs w:val="20"/>
        </w:rPr>
        <w:t xml:space="preserve">igura </w:t>
      </w:r>
      <w:r>
        <w:rPr>
          <w:rFonts w:asciiTheme="minorHAnsi" w:hAnsiTheme="minorHAnsi" w:cstheme="minorHAnsi"/>
          <w:b/>
          <w:sz w:val="18"/>
          <w:szCs w:val="20"/>
        </w:rPr>
        <w:t>2</w:t>
      </w:r>
      <w:r w:rsidRPr="00600663">
        <w:rPr>
          <w:rFonts w:asciiTheme="minorHAnsi" w:hAnsiTheme="minorHAnsi" w:cstheme="minorHAnsi"/>
          <w:b/>
          <w:sz w:val="18"/>
          <w:szCs w:val="20"/>
        </w:rPr>
        <w:t>.</w:t>
      </w:r>
      <w:r w:rsidRPr="00600663">
        <w:rPr>
          <w:rFonts w:asciiTheme="minorHAnsi" w:hAnsiTheme="minorHAnsi" w:cstheme="minorHAnsi"/>
          <w:sz w:val="18"/>
          <w:szCs w:val="20"/>
        </w:rPr>
        <w:t xml:space="preserve"> </w:t>
      </w:r>
      <w:r>
        <w:rPr>
          <w:rFonts w:asciiTheme="minorHAnsi" w:hAnsiTheme="minorHAnsi" w:cstheme="minorHAnsi"/>
          <w:sz w:val="18"/>
          <w:szCs w:val="20"/>
        </w:rPr>
        <w:t>Cobertura arbórea calculada mediante: a) datos LiDAR, b) Clasificación Orientada a Objetos y c) combinación de Clasificación Orientada a Objetos con datos LiDAR.</w:t>
      </w:r>
    </w:p>
    <w:p w14:paraId="1ACC0A49" w14:textId="77777777" w:rsidR="00DA78B4" w:rsidRPr="0047493C" w:rsidRDefault="008D3E80" w:rsidP="0047493C">
      <w:pPr>
        <w:pStyle w:val="Ttulo1"/>
        <w:numPr>
          <w:ilvl w:val="0"/>
          <w:numId w:val="2"/>
        </w:numPr>
        <w:spacing w:before="240"/>
        <w:ind w:left="360" w:hanging="360"/>
        <w:rPr>
          <w:rFonts w:eastAsia="Times New Roman" w:cs="Times New Roman"/>
          <w:lang w:eastAsia="es-ES"/>
        </w:rPr>
      </w:pPr>
      <w:r w:rsidRPr="0047493C">
        <w:rPr>
          <w:rFonts w:eastAsia="Times New Roman" w:cs="Times New Roman"/>
          <w:lang w:eastAsia="es-ES"/>
        </w:rPr>
        <w:lastRenderedPageBreak/>
        <w:t>discusión</w:t>
      </w:r>
    </w:p>
    <w:p w14:paraId="42E2BCE3" w14:textId="509BE44E" w:rsidR="00AF681E" w:rsidRDefault="00AF681E" w:rsidP="00507AA5">
      <w:r>
        <w:t>Como se especificó en epígrafes anteriores, en este estudio se han empleado datos LiDAR del PNOA de baja densidad (0,5 pulsos/m</w:t>
      </w:r>
      <w:r>
        <w:rPr>
          <w:vertAlign w:val="superscript"/>
        </w:rPr>
        <w:t>2</w:t>
      </w:r>
      <w:r>
        <w:t xml:space="preserve">) habiendo concluido </w:t>
      </w:r>
      <w:r>
        <w:rPr>
          <w:noProof/>
        </w:rPr>
        <w:t xml:space="preserve">González-Ferreiro </w:t>
      </w:r>
      <w:r>
        <w:rPr>
          <w:i/>
          <w:noProof/>
        </w:rPr>
        <w:t>et al</w:t>
      </w:r>
      <w:r>
        <w:rPr>
          <w:noProof/>
        </w:rPr>
        <w:t xml:space="preserve">. (2012) que </w:t>
      </w:r>
      <w:r>
        <w:t xml:space="preserve">dicha densidad no implica una reducción significativa de la información. Además según lo expuesto por </w:t>
      </w:r>
      <w:r>
        <w:rPr>
          <w:noProof/>
        </w:rPr>
        <w:t xml:space="preserve">Ma </w:t>
      </w:r>
      <w:r>
        <w:rPr>
          <w:i/>
          <w:noProof/>
        </w:rPr>
        <w:t>et al</w:t>
      </w:r>
      <w:r>
        <w:rPr>
          <w:noProof/>
        </w:rPr>
        <w:t>. (2017)</w:t>
      </w:r>
      <w:r>
        <w:t xml:space="preserve"> si bien la estimación de la cobertura del dosel a partir de datos LiDAR mejora significativamente en el rango de 0,01 0,1 puntos/m</w:t>
      </w:r>
      <w:r>
        <w:rPr>
          <w:vertAlign w:val="superscript"/>
        </w:rPr>
        <w:t>2</w:t>
      </w:r>
      <w:r>
        <w:t>, es comparativamente menor en el rango de 0,1 a 1 punto/m</w:t>
      </w:r>
      <w:r>
        <w:rPr>
          <w:vertAlign w:val="superscript"/>
        </w:rPr>
        <w:t>2</w:t>
      </w:r>
      <w:r>
        <w:t>, haciéndose relativamente constante al superar la densidad de 1 punto/m</w:t>
      </w:r>
      <w:r>
        <w:rPr>
          <w:vertAlign w:val="superscript"/>
        </w:rPr>
        <w:t>2</w:t>
      </w:r>
      <w:r>
        <w:t>, indicando que cualquier aumento en la densidad de puntos que supere este umbral (1 punto/m</w:t>
      </w:r>
      <w:r>
        <w:rPr>
          <w:vertAlign w:val="superscript"/>
        </w:rPr>
        <w:t>2</w:t>
      </w:r>
      <w:r>
        <w:t xml:space="preserve">) contribuye de forma marginal a la </w:t>
      </w:r>
      <w:r w:rsidR="00C527BD">
        <w:t>exactitud</w:t>
      </w:r>
      <w:r>
        <w:t xml:space="preserve"> de la estimación y que densidades de 0.1 puntos/ m</w:t>
      </w:r>
      <w:r>
        <w:rPr>
          <w:vertAlign w:val="superscript"/>
        </w:rPr>
        <w:t>2</w:t>
      </w:r>
      <w:r>
        <w:t xml:space="preserve"> explican más de un 90% de los valores de referencia. </w:t>
      </w:r>
    </w:p>
    <w:p w14:paraId="0F752A15" w14:textId="12BE821B" w:rsidR="00AF681E" w:rsidRDefault="00AF681E">
      <w:r>
        <w:t xml:space="preserve">Dichas conclusiones permiten comparar el presente estudio (realizado con datos LiDAR de baja densidad) con los presentados por Hellesen y Matikainen (2013) y Kempeneers </w:t>
      </w:r>
      <w:r>
        <w:rPr>
          <w:i/>
        </w:rPr>
        <w:t>et al</w:t>
      </w:r>
      <w:r>
        <w:t xml:space="preserve">. (2009) quienes determinan que la combinación de datos LiDAR con clasificaciones basadas en datos espectrales mejora la exactitud de las mismas. De igual modo Geerling </w:t>
      </w:r>
      <w:r>
        <w:rPr>
          <w:i/>
        </w:rPr>
        <w:t>et al</w:t>
      </w:r>
      <w:r>
        <w:t>. (2007), concluyen que la combinación de datos LiDAR con imágenes hiperespectrales mejora la exactitud general de la clasificación, especialmente en estratos de vegetación que muestran una respuesta espectral similar (matorral y arbolado). Sin embargo en este estudio, la Clasificación Orientada a Objetos sobre ortofotografías en falso color infrarrojo resultó la metodología más eficaz para la determinación de la FCC en el área contemplada, con una exactitud global del 96,48%, corroborando lo expuesto por Hellesen y Matikainen (2013) quienes indican que en una clasificación basada únicamente en información espectral resulta difícil distinguir estratos de vegetación con respuesta espectral similar, a menos que éstos se distingan claramente unos de otros, siendo éste el caso de la dehesa libre de matorral (sistema evaluado en este estudio).</w:t>
      </w:r>
    </w:p>
    <w:p w14:paraId="1CDC2466" w14:textId="21287B49" w:rsidR="00AF681E" w:rsidRDefault="00AF681E" w:rsidP="0047493C">
      <w:r>
        <w:t xml:space="preserve">Cabe destacar </w:t>
      </w:r>
      <w:r w:rsidR="00C527BD">
        <w:t>que,</w:t>
      </w:r>
      <w:r>
        <w:t xml:space="preserve"> </w:t>
      </w:r>
      <w:r w:rsidR="00C527BD">
        <w:t xml:space="preserve">aunque </w:t>
      </w:r>
      <w:r>
        <w:t xml:space="preserve">la Clasificación Orientada a Objetos ha sido la </w:t>
      </w:r>
      <w:r w:rsidR="00C527BD">
        <w:t xml:space="preserve">que obtuvo una </w:t>
      </w:r>
      <w:r>
        <w:t xml:space="preserve">mayor exactitud global, </w:t>
      </w:r>
      <w:r w:rsidR="00C527BD">
        <w:t xml:space="preserve">ésta </w:t>
      </w:r>
      <w:r>
        <w:t xml:space="preserve">no resultó significativamente superior a la derivada de la combinación OBIA+LiDAR (96,05%). </w:t>
      </w:r>
    </w:p>
    <w:p w14:paraId="3A6E6349" w14:textId="12F431C2" w:rsidR="00DA78B4" w:rsidRDefault="00A13E61">
      <w:r>
        <w:t xml:space="preserve">Debido a las </w:t>
      </w:r>
      <w:r w:rsidR="00DA78B4">
        <w:t xml:space="preserve">particularidades del área </w:t>
      </w:r>
      <w:r>
        <w:t>de estudio evaluada</w:t>
      </w:r>
      <w:r w:rsidR="00CB265D">
        <w:t xml:space="preserve">, con dos estratos de vegetación </w:t>
      </w:r>
      <w:r w:rsidR="00246612">
        <w:t xml:space="preserve">claramente diferenciados </w:t>
      </w:r>
      <w:r w:rsidR="00CB265D">
        <w:t>(pasto y arbolado),</w:t>
      </w:r>
      <w:r w:rsidR="00DA78B4">
        <w:t xml:space="preserve"> </w:t>
      </w:r>
      <w:r>
        <w:t xml:space="preserve">se </w:t>
      </w:r>
      <w:r w:rsidR="00DA78B4">
        <w:t xml:space="preserve">plantea </w:t>
      </w:r>
      <w:r w:rsidR="00FB563A">
        <w:t>el objetivo de comprobar en futuros estudios</w:t>
      </w:r>
      <w:r w:rsidR="00DA78B4">
        <w:t xml:space="preserve"> si </w:t>
      </w:r>
      <w:r w:rsidR="00CB265D">
        <w:t xml:space="preserve">la </w:t>
      </w:r>
      <w:r w:rsidR="00AF681E">
        <w:t xml:space="preserve">Clasificación Orientada </w:t>
      </w:r>
      <w:r w:rsidR="00CB265D">
        <w:t xml:space="preserve">a </w:t>
      </w:r>
      <w:r w:rsidR="00AF681E">
        <w:t xml:space="preserve">Objetos </w:t>
      </w:r>
      <w:r w:rsidR="00B7525C">
        <w:t>sería</w:t>
      </w:r>
      <w:r w:rsidR="00DA78B4">
        <w:t xml:space="preserve"> la </w:t>
      </w:r>
      <w:r w:rsidR="00CB265D">
        <w:t xml:space="preserve">metodología </w:t>
      </w:r>
      <w:r w:rsidR="00DA78B4">
        <w:t>más eficaz</w:t>
      </w:r>
      <w:r w:rsidR="00B7525C">
        <w:t xml:space="preserve"> en </w:t>
      </w:r>
      <w:r w:rsidR="00CB265D">
        <w:t xml:space="preserve">un área de dehesa con presencia de matorral, en la que los datos LiDAR tendrían una mayor influencia en la </w:t>
      </w:r>
      <w:r w:rsidR="00B85DF5">
        <w:t xml:space="preserve">discretización de </w:t>
      </w:r>
      <w:r w:rsidR="00CB265D">
        <w:t xml:space="preserve">estratos vegetales </w:t>
      </w:r>
      <w:r w:rsidR="00B85DF5">
        <w:t>espectralmente similares</w:t>
      </w:r>
      <w:r w:rsidR="00CB265D">
        <w:t xml:space="preserve"> (matorral y arbolado).</w:t>
      </w:r>
    </w:p>
    <w:p w14:paraId="37E3C16F" w14:textId="77777777" w:rsidR="00E467BD" w:rsidRPr="0047493C" w:rsidRDefault="00E467BD" w:rsidP="00DA78B4">
      <w:pPr>
        <w:rPr>
          <w:rFonts w:eastAsia="Times New Roman" w:cs="Times New Roman"/>
          <w:b/>
          <w:bCs/>
          <w:szCs w:val="24"/>
          <w:lang w:eastAsia="es-ES"/>
        </w:rPr>
      </w:pPr>
    </w:p>
    <w:p w14:paraId="378097F7" w14:textId="77777777" w:rsidR="008D3E80" w:rsidRPr="0047493C" w:rsidRDefault="008D3E80" w:rsidP="0047493C">
      <w:pPr>
        <w:pStyle w:val="Ttulo1"/>
        <w:numPr>
          <w:ilvl w:val="0"/>
          <w:numId w:val="2"/>
        </w:numPr>
        <w:spacing w:before="240"/>
        <w:ind w:left="360" w:hanging="360"/>
        <w:rPr>
          <w:rFonts w:eastAsia="Times New Roman" w:cs="Times New Roman"/>
          <w:lang w:eastAsia="es-ES"/>
        </w:rPr>
      </w:pPr>
      <w:r w:rsidRPr="0047493C">
        <w:rPr>
          <w:rFonts w:eastAsia="Times New Roman" w:cs="Times New Roman"/>
          <w:lang w:eastAsia="es-ES"/>
        </w:rPr>
        <w:t>conclusi</w:t>
      </w:r>
      <w:r w:rsidR="001A67C6" w:rsidRPr="0047493C">
        <w:rPr>
          <w:rFonts w:eastAsia="Times New Roman" w:cs="Times New Roman"/>
          <w:lang w:eastAsia="es-ES"/>
        </w:rPr>
        <w:t>ones</w:t>
      </w:r>
    </w:p>
    <w:p w14:paraId="5B52B3FF" w14:textId="674E91D9" w:rsidR="004D2279" w:rsidRDefault="008D3E80" w:rsidP="008D3E80">
      <w:r>
        <w:t xml:space="preserve">En </w:t>
      </w:r>
      <w:r w:rsidRPr="005E12AF">
        <w:t xml:space="preserve">áreas </w:t>
      </w:r>
      <w:r>
        <w:t xml:space="preserve">de dehesa </w:t>
      </w:r>
      <w:r w:rsidRPr="005E12AF">
        <w:t xml:space="preserve">con </w:t>
      </w:r>
      <w:r w:rsidR="001C4B99">
        <w:t>estratos</w:t>
      </w:r>
      <w:r w:rsidR="001C4B99" w:rsidRPr="005E12AF">
        <w:t xml:space="preserve"> </w:t>
      </w:r>
      <w:r w:rsidRPr="005E12AF">
        <w:t xml:space="preserve">de vegetación </w:t>
      </w:r>
      <w:r>
        <w:t>claramente diferenciados por su respuesta espectral</w:t>
      </w:r>
      <w:r w:rsidRPr="005E12AF">
        <w:t xml:space="preserve">, la </w:t>
      </w:r>
      <w:r w:rsidR="00741A91">
        <w:t>C</w:t>
      </w:r>
      <w:r w:rsidR="00741A91" w:rsidRPr="005E12AF">
        <w:t xml:space="preserve">lasificación </w:t>
      </w:r>
      <w:r w:rsidR="00741A91">
        <w:t>O</w:t>
      </w:r>
      <w:r w:rsidR="00741A91" w:rsidRPr="005E12AF">
        <w:t xml:space="preserve">rientada </w:t>
      </w:r>
      <w:r w:rsidRPr="005E12AF">
        <w:t xml:space="preserve">a </w:t>
      </w:r>
      <w:r w:rsidR="00741A91">
        <w:t>O</w:t>
      </w:r>
      <w:r w:rsidR="00741A91" w:rsidRPr="005E12AF">
        <w:t xml:space="preserve">bjetos </w:t>
      </w:r>
      <w:r w:rsidR="002050BF">
        <w:t>sobre ortofotografías en falso color infrarrojo</w:t>
      </w:r>
      <w:r w:rsidR="002050BF" w:rsidRPr="005E12AF">
        <w:t xml:space="preserve"> </w:t>
      </w:r>
      <w:r w:rsidRPr="005E12AF">
        <w:t xml:space="preserve">resulta adecuada para la determinación de la </w:t>
      </w:r>
      <w:r w:rsidR="005004FD">
        <w:t>FCC</w:t>
      </w:r>
      <w:r>
        <w:t xml:space="preserve">, no detectándose incremento de la </w:t>
      </w:r>
      <w:r w:rsidR="002E283E">
        <w:t>exactitud</w:t>
      </w:r>
      <w:r>
        <w:t xml:space="preserve"> </w:t>
      </w:r>
      <w:r w:rsidR="00B62BF1">
        <w:t xml:space="preserve">global </w:t>
      </w:r>
      <w:r>
        <w:t>derivado de la inclusión de datos LiDAR.</w:t>
      </w:r>
    </w:p>
    <w:p w14:paraId="0ED0329A" w14:textId="33CC28A7" w:rsidR="00A341CD" w:rsidRDefault="00A341CD" w:rsidP="00A341CD">
      <w:r>
        <w:t xml:space="preserve">Siendo la clase “copa” la necesaria para la determinación de la FCC, las </w:t>
      </w:r>
      <w:r w:rsidRPr="00AD405F">
        <w:t>exactitud</w:t>
      </w:r>
      <w:r>
        <w:t>es</w:t>
      </w:r>
      <w:r w:rsidRPr="00600663">
        <w:t xml:space="preserve"> </w:t>
      </w:r>
      <w:r>
        <w:t xml:space="preserve">del usuario y del productor obtenidas para dicha clase corroboran que la determinación más exacta de la </w:t>
      </w:r>
      <w:r w:rsidR="00C527BD">
        <w:t>FCC</w:t>
      </w:r>
      <w:r>
        <w:t xml:space="preserve"> se obtiene </w:t>
      </w:r>
      <w:r w:rsidR="00C527BD">
        <w:t xml:space="preserve">con </w:t>
      </w:r>
      <w:r w:rsidRPr="005E12AF">
        <w:t xml:space="preserve">la </w:t>
      </w:r>
      <w:r w:rsidR="00C527BD" w:rsidRPr="005E12AF">
        <w:t xml:space="preserve">Clasificación Orientada </w:t>
      </w:r>
      <w:r w:rsidR="00C527BD">
        <w:t>a</w:t>
      </w:r>
      <w:r w:rsidR="00C527BD" w:rsidRPr="005E12AF">
        <w:t xml:space="preserve"> Objetos</w:t>
      </w:r>
      <w:r>
        <w:t>.</w:t>
      </w:r>
    </w:p>
    <w:p w14:paraId="6432062D" w14:textId="59FD92A8" w:rsidR="004D2279" w:rsidRDefault="002050BF" w:rsidP="004D2279">
      <w:r>
        <w:t xml:space="preserve">No existe una diferencia significativa entre las clasificaciones que mejores resultados </w:t>
      </w:r>
      <w:r w:rsidR="00D72D34">
        <w:t xml:space="preserve">presentan </w:t>
      </w:r>
      <w:r>
        <w:t>(OBIA y OBIA+LiDAR), justificándose la necesidad de</w:t>
      </w:r>
      <w:r w:rsidR="00B62BF1">
        <w:t xml:space="preserve"> estudios futuros que contemplen las tres metodologías evaluadas en dehesas con un gradiente de complejidad estructural, es decir, en las que el matorral (con respuesta espectral similar al arbolado) se encuentre en distinta proporción.</w:t>
      </w:r>
      <w:r>
        <w:t xml:space="preserve"> </w:t>
      </w:r>
      <w:r w:rsidR="004D2279">
        <w:t>Estos estudios permitirán determinar la influencia</w:t>
      </w:r>
      <w:r w:rsidR="00C527BD">
        <w:t xml:space="preserve"> de los datos LiDAR en la distinción</w:t>
      </w:r>
      <w:r w:rsidR="004D2279">
        <w:t xml:space="preserve"> de estratos vegetales </w:t>
      </w:r>
      <w:r w:rsidR="00C527BD">
        <w:t>espectralmente similares</w:t>
      </w:r>
      <w:r w:rsidR="004D2279">
        <w:t>.</w:t>
      </w:r>
    </w:p>
    <w:p w14:paraId="6E23CA15" w14:textId="5161D696" w:rsidR="002050BF" w:rsidRDefault="002050BF" w:rsidP="002050BF">
      <w:r>
        <w:t>Los datos LiDAR empleados, con una densidad de 0,5</w:t>
      </w:r>
      <w:r w:rsidR="00741A91">
        <w:t xml:space="preserve"> pulsos</w:t>
      </w:r>
      <w:r>
        <w:t>/m</w:t>
      </w:r>
      <w:r>
        <w:rPr>
          <w:vertAlign w:val="superscript"/>
        </w:rPr>
        <w:t>2</w:t>
      </w:r>
      <w:r>
        <w:t xml:space="preserve">, han obtenido una exactitud global del </w:t>
      </w:r>
      <w:r w:rsidRPr="002050BF">
        <w:t>93,75</w:t>
      </w:r>
      <w:r>
        <w:t xml:space="preserve">%, </w:t>
      </w:r>
      <w:r w:rsidR="00A341CD">
        <w:t>derivando</w:t>
      </w:r>
      <w:r w:rsidR="00D72D34">
        <w:t xml:space="preserve"> resultados satisfactorios </w:t>
      </w:r>
      <w:r w:rsidR="000B1976">
        <w:t>en</w:t>
      </w:r>
      <w:r w:rsidR="00D72D34">
        <w:t xml:space="preserve"> la </w:t>
      </w:r>
      <w:r w:rsidR="00A341CD">
        <w:t>delimitación del estrato vegetal superior (a</w:t>
      </w:r>
      <w:r w:rsidR="00A0686F">
        <w:t>r</w:t>
      </w:r>
      <w:r w:rsidR="00A341CD">
        <w:t>bolado).</w:t>
      </w:r>
    </w:p>
    <w:p w14:paraId="1074308A" w14:textId="77777777" w:rsidR="00313EEE" w:rsidRPr="00E611A8" w:rsidRDefault="00313EEE" w:rsidP="0060223D">
      <w:pPr>
        <w:rPr>
          <w:rFonts w:asciiTheme="minorHAnsi" w:hAnsiTheme="minorHAnsi" w:cstheme="minorHAnsi"/>
          <w:sz w:val="18"/>
          <w:szCs w:val="20"/>
        </w:rPr>
      </w:pPr>
    </w:p>
    <w:p w14:paraId="6D5A1B06" w14:textId="77777777" w:rsidR="00E65C50" w:rsidRPr="0047493C" w:rsidRDefault="00250F41" w:rsidP="0047493C">
      <w:pPr>
        <w:pStyle w:val="Ttulo1"/>
        <w:numPr>
          <w:ilvl w:val="0"/>
          <w:numId w:val="2"/>
        </w:numPr>
        <w:spacing w:before="240"/>
        <w:ind w:left="360" w:hanging="360"/>
        <w:rPr>
          <w:rFonts w:eastAsia="Times New Roman" w:cs="Times New Roman"/>
          <w:lang w:eastAsia="es-ES"/>
        </w:rPr>
      </w:pPr>
      <w:r w:rsidRPr="0047493C">
        <w:rPr>
          <w:rFonts w:eastAsia="Times New Roman" w:cs="Times New Roman"/>
          <w:lang w:eastAsia="es-ES"/>
        </w:rPr>
        <w:lastRenderedPageBreak/>
        <w:t>agradecimientos</w:t>
      </w:r>
    </w:p>
    <w:p w14:paraId="34CBA4E6" w14:textId="77777777" w:rsidR="00E65C50" w:rsidRDefault="002D072C" w:rsidP="002D072C">
      <w:r w:rsidRPr="00600663">
        <w:t xml:space="preserve">El trabajo que aquí se expone se ha desarrollado gracias a la financiación recibida </w:t>
      </w:r>
      <w:r w:rsidR="007024BB" w:rsidRPr="00600663">
        <w:t>de la Fundación Tatiana Pérez de Guzmán el Bueno, en concepto de contrato predoctoral, a través del Programa de Ayudas de Investigación para Jó</w:t>
      </w:r>
      <w:r w:rsidR="00B62BF1">
        <w:t>venes Investigadores en Cáceres del año 2016.</w:t>
      </w:r>
    </w:p>
    <w:p w14:paraId="0381DECE" w14:textId="77777777" w:rsidR="008D3E80" w:rsidRPr="0047493C" w:rsidRDefault="008D3E80" w:rsidP="002D072C">
      <w:pPr>
        <w:rPr>
          <w:rFonts w:eastAsia="Times New Roman" w:cs="Times New Roman"/>
          <w:b/>
          <w:bCs/>
          <w:szCs w:val="24"/>
          <w:lang w:eastAsia="es-ES"/>
        </w:rPr>
      </w:pPr>
    </w:p>
    <w:p w14:paraId="284D30BF" w14:textId="77777777" w:rsidR="00250F41" w:rsidRPr="0047493C" w:rsidRDefault="00250F41" w:rsidP="0047493C">
      <w:pPr>
        <w:pStyle w:val="Ttulo1"/>
        <w:numPr>
          <w:ilvl w:val="0"/>
          <w:numId w:val="2"/>
        </w:numPr>
        <w:spacing w:before="240"/>
        <w:ind w:left="360" w:hanging="360"/>
        <w:rPr>
          <w:rFonts w:eastAsia="Times New Roman" w:cs="Times New Roman"/>
          <w:lang w:eastAsia="es-ES"/>
        </w:rPr>
      </w:pPr>
      <w:r w:rsidRPr="0047493C">
        <w:rPr>
          <w:rFonts w:eastAsia="Times New Roman" w:cs="Times New Roman"/>
          <w:lang w:eastAsia="es-ES"/>
        </w:rPr>
        <w:t>bibliografía</w:t>
      </w:r>
    </w:p>
    <w:p w14:paraId="7D83985A" w14:textId="6B2978E8" w:rsidR="00586F6D" w:rsidRDefault="00586F6D" w:rsidP="00FE0051">
      <w:pPr>
        <w:rPr>
          <w:noProof/>
        </w:rPr>
      </w:pPr>
      <w:r w:rsidRPr="00586F6D">
        <w:rPr>
          <w:noProof/>
        </w:rPr>
        <w:t>Antona</w:t>
      </w:r>
      <w:r>
        <w:rPr>
          <w:noProof/>
        </w:rPr>
        <w:t>rakis, A. S., Richards, K. S. y Brasington, J. (2008):</w:t>
      </w:r>
      <w:r w:rsidRPr="00586F6D">
        <w:rPr>
          <w:noProof/>
        </w:rPr>
        <w:t xml:space="preserve"> Object-based land cover classification using airborne LiDAR. </w:t>
      </w:r>
      <w:r w:rsidRPr="00586F6D">
        <w:rPr>
          <w:i/>
          <w:iCs/>
          <w:noProof/>
        </w:rPr>
        <w:t>Remote Sensing of Environment</w:t>
      </w:r>
      <w:r w:rsidRPr="00586F6D">
        <w:rPr>
          <w:noProof/>
        </w:rPr>
        <w:t>, </w:t>
      </w:r>
      <w:r w:rsidRPr="0047493C">
        <w:rPr>
          <w:iCs/>
          <w:noProof/>
        </w:rPr>
        <w:t>112</w:t>
      </w:r>
      <w:r w:rsidRPr="00586F6D">
        <w:rPr>
          <w:noProof/>
        </w:rPr>
        <w:t>, 2988-2998.</w:t>
      </w:r>
    </w:p>
    <w:p w14:paraId="23D6F3F5" w14:textId="70EADF40" w:rsidR="00586F6D" w:rsidRDefault="00586F6D" w:rsidP="00FE0051">
      <w:pPr>
        <w:rPr>
          <w:noProof/>
          <w:lang w:val="en-US"/>
        </w:rPr>
      </w:pPr>
      <w:r w:rsidRPr="00586F6D">
        <w:rPr>
          <w:noProof/>
        </w:rPr>
        <w:t xml:space="preserve">Brennan, R., </w:t>
      </w:r>
      <w:r>
        <w:rPr>
          <w:noProof/>
        </w:rPr>
        <w:t>y</w:t>
      </w:r>
      <w:r w:rsidRPr="00586F6D">
        <w:rPr>
          <w:noProof/>
        </w:rPr>
        <w:t xml:space="preserve"> </w:t>
      </w:r>
      <w:r>
        <w:rPr>
          <w:noProof/>
        </w:rPr>
        <w:t>Webster, T. L. (2006):</w:t>
      </w:r>
      <w:r w:rsidRPr="00586F6D">
        <w:rPr>
          <w:noProof/>
        </w:rPr>
        <w:t xml:space="preserve"> Object-oriented land cover classification of lidar-derived surfaces. </w:t>
      </w:r>
      <w:r w:rsidRPr="00586F6D">
        <w:rPr>
          <w:i/>
          <w:iCs/>
          <w:noProof/>
        </w:rPr>
        <w:t>Canadian journal of remote sensing</w:t>
      </w:r>
      <w:r w:rsidRPr="00586F6D">
        <w:rPr>
          <w:noProof/>
        </w:rPr>
        <w:t>, </w:t>
      </w:r>
      <w:r w:rsidRPr="0047493C">
        <w:rPr>
          <w:iCs/>
          <w:noProof/>
        </w:rPr>
        <w:t>32</w:t>
      </w:r>
      <w:r w:rsidRPr="00050617">
        <w:rPr>
          <w:noProof/>
        </w:rPr>
        <w:t>,</w:t>
      </w:r>
      <w:r w:rsidRPr="00586F6D">
        <w:rPr>
          <w:noProof/>
        </w:rPr>
        <w:t xml:space="preserve"> 162-172.</w:t>
      </w:r>
    </w:p>
    <w:p w14:paraId="41055948" w14:textId="473DB68A" w:rsidR="00507AA5" w:rsidRDefault="00507AA5" w:rsidP="00FE0051">
      <w:r>
        <w:t>Environmental Systems Research Institute (2017): ArcGIS. Versi</w:t>
      </w:r>
      <w:r w:rsidR="00CD4582">
        <w:t>ó</w:t>
      </w:r>
      <w:r>
        <w:t>n 10.5. Redlands, California.</w:t>
      </w:r>
    </w:p>
    <w:p w14:paraId="3453D3CC" w14:textId="043DFE83" w:rsidR="000D106C" w:rsidRPr="00A0686F" w:rsidRDefault="008D0B94" w:rsidP="00FE0051">
      <w:pPr>
        <w:rPr>
          <w:noProof/>
          <w:lang w:val="en-US"/>
        </w:rPr>
      </w:pPr>
      <w:r w:rsidRPr="00A0686F">
        <w:rPr>
          <w:noProof/>
          <w:lang w:val="en-US"/>
        </w:rPr>
        <w:t>Gea-Izquierdo, G., Montero, G.</w:t>
      </w:r>
      <w:r w:rsidR="000D106C" w:rsidRPr="00A0686F">
        <w:rPr>
          <w:noProof/>
          <w:lang w:val="en-US"/>
        </w:rPr>
        <w:t xml:space="preserve"> </w:t>
      </w:r>
      <w:r w:rsidR="00BB01DC" w:rsidRPr="00A0686F">
        <w:rPr>
          <w:noProof/>
          <w:lang w:val="en-US"/>
        </w:rPr>
        <w:t>y</w:t>
      </w:r>
      <w:r w:rsidR="000D106C" w:rsidRPr="00A0686F">
        <w:rPr>
          <w:noProof/>
          <w:lang w:val="en-US"/>
        </w:rPr>
        <w:t xml:space="preserve"> Cañellas, I. (2009)</w:t>
      </w:r>
      <w:r w:rsidR="00BB01DC" w:rsidRPr="00A0686F">
        <w:rPr>
          <w:noProof/>
          <w:lang w:val="en-US"/>
        </w:rPr>
        <w:t>:</w:t>
      </w:r>
      <w:r w:rsidR="000D106C" w:rsidRPr="00A0686F">
        <w:rPr>
          <w:noProof/>
          <w:lang w:val="en-US"/>
        </w:rPr>
        <w:t xml:space="preserve"> Changes in limiting resources determine spatio- temporal variability in tree–grass interactions. </w:t>
      </w:r>
      <w:r w:rsidR="000D106C" w:rsidRPr="00A0686F">
        <w:rPr>
          <w:i/>
          <w:iCs/>
          <w:noProof/>
          <w:lang w:val="en-US"/>
        </w:rPr>
        <w:t>Agroforestry Systems</w:t>
      </w:r>
      <w:r w:rsidR="000D106C" w:rsidRPr="00A0686F">
        <w:rPr>
          <w:noProof/>
          <w:lang w:val="en-US"/>
        </w:rPr>
        <w:t xml:space="preserve">, </w:t>
      </w:r>
      <w:r w:rsidR="000D106C" w:rsidRPr="00A0686F">
        <w:rPr>
          <w:iCs/>
          <w:noProof/>
          <w:lang w:val="en-US"/>
        </w:rPr>
        <w:t>76</w:t>
      </w:r>
      <w:r w:rsidR="000D106C" w:rsidRPr="00A0686F">
        <w:rPr>
          <w:noProof/>
          <w:lang w:val="en-US"/>
        </w:rPr>
        <w:t>, 375</w:t>
      </w:r>
      <w:r w:rsidR="00586F6D">
        <w:rPr>
          <w:noProof/>
          <w:lang w:val="en-US"/>
        </w:rPr>
        <w:t>-</w:t>
      </w:r>
      <w:r w:rsidR="000D106C" w:rsidRPr="00A0686F">
        <w:rPr>
          <w:noProof/>
          <w:lang w:val="en-US"/>
        </w:rPr>
        <w:t>387.</w:t>
      </w:r>
    </w:p>
    <w:p w14:paraId="0EF10CBC" w14:textId="77777777" w:rsidR="00BB01DC" w:rsidRPr="00A0686F" w:rsidRDefault="00BB01DC" w:rsidP="00FE0051">
      <w:pPr>
        <w:rPr>
          <w:noProof/>
          <w:lang w:val="en-US"/>
        </w:rPr>
      </w:pPr>
      <w:r w:rsidRPr="00A0686F">
        <w:rPr>
          <w:noProof/>
          <w:lang w:val="en-US"/>
        </w:rPr>
        <w:t>Geerling, G. W., Labrador‐Garcia, M., Clevers, J. G. P. W., Ragas, A. M. J. y Smits, A. J. M. (2007): Classification of floodplain vegetation by data fusion of spectral (CASI) and LiDAR data. </w:t>
      </w:r>
      <w:r w:rsidRPr="00A0686F">
        <w:rPr>
          <w:i/>
          <w:iCs/>
          <w:noProof/>
          <w:lang w:val="en-US"/>
        </w:rPr>
        <w:t>International Journal of Remote Sensing</w:t>
      </w:r>
      <w:r w:rsidRPr="00A0686F">
        <w:rPr>
          <w:noProof/>
          <w:lang w:val="en-US"/>
        </w:rPr>
        <w:t>, </w:t>
      </w:r>
      <w:r w:rsidRPr="00A0686F">
        <w:rPr>
          <w:iCs/>
          <w:noProof/>
          <w:lang w:val="en-US"/>
        </w:rPr>
        <w:t>28</w:t>
      </w:r>
      <w:r w:rsidRPr="00A0686F">
        <w:rPr>
          <w:noProof/>
          <w:lang w:val="en-US"/>
        </w:rPr>
        <w:t>, 4263-4284.</w:t>
      </w:r>
    </w:p>
    <w:p w14:paraId="70E4B6A0" w14:textId="77777777" w:rsidR="001002D1" w:rsidRPr="00A0686F" w:rsidRDefault="001002D1" w:rsidP="001002D1">
      <w:pPr>
        <w:rPr>
          <w:noProof/>
          <w:lang w:val="en-US"/>
        </w:rPr>
      </w:pPr>
      <w:r w:rsidRPr="00A0686F">
        <w:rPr>
          <w:noProof/>
          <w:lang w:val="en-US"/>
        </w:rPr>
        <w:t>Godinho, S., Santos, A. P. y Sá-Sousa, P. (2011): Montado management effects on the abundance and conservation of reptiles in Alentejo, Southern Portugal. </w:t>
      </w:r>
      <w:r w:rsidRPr="00A0686F">
        <w:rPr>
          <w:i/>
          <w:iCs/>
          <w:noProof/>
          <w:lang w:val="en-US"/>
        </w:rPr>
        <w:t xml:space="preserve">Agroforestry </w:t>
      </w:r>
      <w:r w:rsidRPr="002205C3">
        <w:rPr>
          <w:i/>
          <w:iCs/>
          <w:noProof/>
          <w:lang w:val="en-US"/>
        </w:rPr>
        <w:t>S</w:t>
      </w:r>
      <w:r w:rsidRPr="00A0686F">
        <w:rPr>
          <w:i/>
          <w:iCs/>
          <w:noProof/>
          <w:lang w:val="en-US"/>
        </w:rPr>
        <w:t>ystems</w:t>
      </w:r>
      <w:r w:rsidRPr="00A0686F">
        <w:rPr>
          <w:noProof/>
          <w:lang w:val="en-US"/>
        </w:rPr>
        <w:t>, </w:t>
      </w:r>
      <w:r w:rsidRPr="00A0686F">
        <w:rPr>
          <w:iCs/>
          <w:noProof/>
          <w:lang w:val="en-US"/>
        </w:rPr>
        <w:t>82</w:t>
      </w:r>
      <w:r w:rsidRPr="00A0686F">
        <w:rPr>
          <w:noProof/>
          <w:lang w:val="en-US"/>
        </w:rPr>
        <w:t>, 197-207.</w:t>
      </w:r>
    </w:p>
    <w:p w14:paraId="508230AF" w14:textId="59599512" w:rsidR="00052895" w:rsidRPr="00A0686F" w:rsidRDefault="00052895" w:rsidP="00052895">
      <w:pPr>
        <w:rPr>
          <w:noProof/>
          <w:lang w:val="en-US"/>
        </w:rPr>
      </w:pPr>
      <w:r w:rsidRPr="00A0686F">
        <w:rPr>
          <w:noProof/>
          <w:lang w:val="en-US"/>
        </w:rPr>
        <w:t>Godinho, S., Gil, A., Guiomar, N., Neves, N. y Pinto-Correia, T. (2016): A remote sensing-based approach to estimating montado canopy density using the FCD model: a contribution to identifying HNV farmlands in southern Portugal. </w:t>
      </w:r>
      <w:r w:rsidRPr="00A0686F">
        <w:rPr>
          <w:i/>
          <w:iCs/>
          <w:noProof/>
          <w:lang w:val="en-US"/>
        </w:rPr>
        <w:t xml:space="preserve">Agroforestry </w:t>
      </w:r>
      <w:r w:rsidR="00A0686F" w:rsidRPr="0047493C">
        <w:rPr>
          <w:i/>
          <w:iCs/>
          <w:noProof/>
          <w:lang w:val="en-US"/>
        </w:rPr>
        <w:t>S</w:t>
      </w:r>
      <w:r w:rsidRPr="00A0686F">
        <w:rPr>
          <w:i/>
          <w:iCs/>
          <w:noProof/>
          <w:lang w:val="en-US"/>
        </w:rPr>
        <w:t>ystems</w:t>
      </w:r>
      <w:r w:rsidRPr="00A0686F">
        <w:rPr>
          <w:noProof/>
          <w:lang w:val="en-US"/>
        </w:rPr>
        <w:t>, </w:t>
      </w:r>
      <w:r w:rsidRPr="00A0686F">
        <w:rPr>
          <w:iCs/>
          <w:noProof/>
          <w:lang w:val="en-US"/>
        </w:rPr>
        <w:t>90</w:t>
      </w:r>
      <w:r w:rsidRPr="00A0686F">
        <w:rPr>
          <w:noProof/>
          <w:lang w:val="en-US"/>
        </w:rPr>
        <w:t>, 23-34.</w:t>
      </w:r>
    </w:p>
    <w:p w14:paraId="2D927FBE" w14:textId="77777777" w:rsidR="00052895" w:rsidRPr="00A0686F" w:rsidRDefault="00052895" w:rsidP="00052895">
      <w:pPr>
        <w:rPr>
          <w:noProof/>
          <w:lang w:val="en-US"/>
        </w:rPr>
      </w:pPr>
      <w:r w:rsidRPr="00A0686F">
        <w:rPr>
          <w:noProof/>
          <w:lang w:val="en-US"/>
        </w:rPr>
        <w:t>Godinho, S., Guiomar, N. y Gil, A. (2017): Estimating tree canopy cover percentage in a mediterranean silvopastoral systems using Sentinel-2A imagery and the stochastic gradient boosting algorithm. </w:t>
      </w:r>
      <w:r w:rsidRPr="00A0686F">
        <w:rPr>
          <w:i/>
          <w:iCs/>
          <w:noProof/>
          <w:lang w:val="en-US"/>
        </w:rPr>
        <w:t>International Journal of Remote Sensing</w:t>
      </w:r>
      <w:r w:rsidRPr="00A0686F">
        <w:rPr>
          <w:noProof/>
          <w:lang w:val="en-US"/>
        </w:rPr>
        <w:t>, 1-23.</w:t>
      </w:r>
    </w:p>
    <w:p w14:paraId="4B7EB875" w14:textId="77777777" w:rsidR="008D0B94" w:rsidRPr="00A0686F" w:rsidRDefault="008D0B94" w:rsidP="00FE0051">
      <w:pPr>
        <w:rPr>
          <w:noProof/>
          <w:lang w:val="en-US"/>
        </w:rPr>
      </w:pPr>
      <w:r w:rsidRPr="00A0686F">
        <w:rPr>
          <w:noProof/>
          <w:lang w:val="en-US"/>
        </w:rPr>
        <w:t>González-Ferreiro, E., Diéguez-Aranda, U. y Miranda, D. (2012): Estimation of stand variables in Pinus radiata D. Don plantations using different LiDAR pulse densities. </w:t>
      </w:r>
      <w:r w:rsidRPr="00A0686F">
        <w:rPr>
          <w:i/>
          <w:iCs/>
          <w:noProof/>
          <w:lang w:val="en-US"/>
        </w:rPr>
        <w:t>Forestry</w:t>
      </w:r>
      <w:r w:rsidRPr="00A0686F">
        <w:rPr>
          <w:noProof/>
          <w:lang w:val="en-US"/>
        </w:rPr>
        <w:t>, </w:t>
      </w:r>
      <w:r w:rsidRPr="00A0686F">
        <w:rPr>
          <w:iCs/>
          <w:noProof/>
          <w:lang w:val="en-US"/>
        </w:rPr>
        <w:t>85</w:t>
      </w:r>
      <w:r w:rsidRPr="00A0686F">
        <w:rPr>
          <w:noProof/>
          <w:lang w:val="en-US"/>
        </w:rPr>
        <w:t>, 281-292.</w:t>
      </w:r>
    </w:p>
    <w:p w14:paraId="577742BC" w14:textId="77777777" w:rsidR="008D0B94" w:rsidRPr="00A0686F" w:rsidRDefault="008D0B94" w:rsidP="00FE0051">
      <w:pPr>
        <w:rPr>
          <w:lang w:val="en-US"/>
        </w:rPr>
      </w:pPr>
      <w:r w:rsidRPr="00A0686F">
        <w:rPr>
          <w:lang w:val="en-US"/>
        </w:rPr>
        <w:t xml:space="preserve">Gschwantner, T., Schadauer, K., Vidal, C., Lanz, A., Tomppo, E., di Cosmo, L., Robert, N., Englert Duursma, D. y Lawrence, M. (2009): Common tree definitions for national forest inventories in Europe. </w:t>
      </w:r>
      <w:r w:rsidRPr="00A0686F">
        <w:rPr>
          <w:i/>
          <w:lang w:val="en-US"/>
        </w:rPr>
        <w:t xml:space="preserve">Silva Fennica, </w:t>
      </w:r>
      <w:r w:rsidRPr="00A0686F">
        <w:rPr>
          <w:lang w:val="en-US"/>
        </w:rPr>
        <w:t>43, 303–321.</w:t>
      </w:r>
    </w:p>
    <w:p w14:paraId="15480529" w14:textId="77777777" w:rsidR="002B1927" w:rsidRPr="00A0686F" w:rsidRDefault="002B1927" w:rsidP="00FE0051">
      <w:pPr>
        <w:rPr>
          <w:noProof/>
          <w:lang w:val="en-US"/>
        </w:rPr>
      </w:pPr>
      <w:r w:rsidRPr="00A0686F">
        <w:rPr>
          <w:noProof/>
          <w:lang w:val="en-US"/>
        </w:rPr>
        <w:t>Hellesen, T. y Matikainen, L. (2013): An object-based approach for mapping shrub and tree cover on grassland habitats by use of LiDAR and CIR orthoimages. </w:t>
      </w:r>
      <w:r w:rsidRPr="00A0686F">
        <w:rPr>
          <w:i/>
          <w:iCs/>
          <w:noProof/>
          <w:lang w:val="en-US"/>
        </w:rPr>
        <w:t>Remote Sensing</w:t>
      </w:r>
      <w:r w:rsidRPr="00A0686F">
        <w:rPr>
          <w:noProof/>
          <w:lang w:val="en-US"/>
        </w:rPr>
        <w:t>, </w:t>
      </w:r>
      <w:r w:rsidRPr="00A0686F">
        <w:rPr>
          <w:iCs/>
          <w:noProof/>
          <w:lang w:val="en-US"/>
        </w:rPr>
        <w:t>5</w:t>
      </w:r>
      <w:r w:rsidRPr="00A0686F">
        <w:rPr>
          <w:noProof/>
          <w:lang w:val="en-US"/>
        </w:rPr>
        <w:t>, 558-583.</w:t>
      </w:r>
    </w:p>
    <w:p w14:paraId="06FAA7BA" w14:textId="12E66F8A" w:rsidR="002B1927" w:rsidRPr="00A0686F" w:rsidRDefault="002B1927" w:rsidP="00FE0051">
      <w:pPr>
        <w:rPr>
          <w:noProof/>
          <w:lang w:val="en-US"/>
        </w:rPr>
      </w:pPr>
      <w:r w:rsidRPr="00A0686F">
        <w:rPr>
          <w:noProof/>
          <w:lang w:val="en-US"/>
        </w:rPr>
        <w:t>Howlett, D.S., Moreno, G.</w:t>
      </w:r>
      <w:r w:rsidR="006652D6" w:rsidRPr="00A0686F">
        <w:rPr>
          <w:noProof/>
          <w:lang w:val="en-US"/>
        </w:rPr>
        <w:t>, Losada, M.R. M., Nair, P.R. y Nair, V.D. (2011):</w:t>
      </w:r>
      <w:r w:rsidRPr="00A0686F">
        <w:rPr>
          <w:noProof/>
          <w:lang w:val="en-US"/>
        </w:rPr>
        <w:t xml:space="preserve"> Soil carbon storage as influenced by tree cover in the Dehesa cork oak silvopasture of central-western Spain. </w:t>
      </w:r>
      <w:r w:rsidRPr="00A0686F">
        <w:rPr>
          <w:i/>
          <w:iCs/>
          <w:noProof/>
          <w:lang w:val="en-US"/>
        </w:rPr>
        <w:t>Journal of Environmental Monitoring</w:t>
      </w:r>
      <w:r w:rsidRPr="00A0686F">
        <w:rPr>
          <w:noProof/>
          <w:lang w:val="en-US"/>
        </w:rPr>
        <w:t>, </w:t>
      </w:r>
      <w:r w:rsidRPr="00A0686F">
        <w:rPr>
          <w:iCs/>
          <w:noProof/>
          <w:lang w:val="en-US"/>
        </w:rPr>
        <w:t>13</w:t>
      </w:r>
      <w:r w:rsidRPr="00A0686F">
        <w:rPr>
          <w:noProof/>
          <w:lang w:val="en-US"/>
        </w:rPr>
        <w:t>, 1897-1904.</w:t>
      </w:r>
    </w:p>
    <w:p w14:paraId="59013607" w14:textId="2D51B895" w:rsidR="006652D6" w:rsidRPr="00A0686F" w:rsidRDefault="006652D6" w:rsidP="00FE0051">
      <w:pPr>
        <w:rPr>
          <w:noProof/>
          <w:lang w:val="en-US"/>
        </w:rPr>
      </w:pPr>
      <w:r w:rsidRPr="00A0686F">
        <w:rPr>
          <w:noProof/>
          <w:lang w:val="en-US"/>
        </w:rPr>
        <w:t>Jakubowski, M.K., Li, W., Guo, Q. y Kelly, M. (2013): Delineating individual trees from LiDAR data: A comparison of vector-and raster-based segmentation approaches. </w:t>
      </w:r>
      <w:r w:rsidRPr="00A0686F">
        <w:rPr>
          <w:i/>
          <w:iCs/>
          <w:noProof/>
          <w:lang w:val="en-US"/>
        </w:rPr>
        <w:t>Remote Sensing</w:t>
      </w:r>
      <w:r w:rsidRPr="00A0686F">
        <w:rPr>
          <w:noProof/>
          <w:lang w:val="en-US"/>
        </w:rPr>
        <w:t>, </w:t>
      </w:r>
      <w:r w:rsidRPr="00A0686F">
        <w:rPr>
          <w:iCs/>
          <w:noProof/>
          <w:lang w:val="en-US"/>
        </w:rPr>
        <w:t>5</w:t>
      </w:r>
      <w:r w:rsidRPr="00A0686F">
        <w:rPr>
          <w:noProof/>
          <w:lang w:val="en-US"/>
        </w:rPr>
        <w:t>, 4163-4186.</w:t>
      </w:r>
    </w:p>
    <w:p w14:paraId="1E8291DF" w14:textId="77777777" w:rsidR="006652D6" w:rsidRPr="00A0686F" w:rsidRDefault="006652D6" w:rsidP="00FE0051">
      <w:pPr>
        <w:rPr>
          <w:noProof/>
          <w:lang w:val="en-US"/>
        </w:rPr>
      </w:pPr>
      <w:r w:rsidRPr="00A0686F">
        <w:rPr>
          <w:noProof/>
          <w:lang w:val="en-US"/>
        </w:rPr>
        <w:t>Kempeneers, P., Deronde, B., Provoost, S. y Houthuys, R. (2009): Synergy of airborne digital camera and lidar data to map coastal dune vegetation. </w:t>
      </w:r>
      <w:r w:rsidRPr="00A0686F">
        <w:rPr>
          <w:i/>
          <w:iCs/>
          <w:noProof/>
          <w:lang w:val="en-US"/>
        </w:rPr>
        <w:t>Journal of Coastal Research</w:t>
      </w:r>
      <w:r w:rsidRPr="00A0686F">
        <w:rPr>
          <w:noProof/>
          <w:lang w:val="en-US"/>
        </w:rPr>
        <w:t>, 53, 73-82.</w:t>
      </w:r>
    </w:p>
    <w:p w14:paraId="1222DDFF" w14:textId="69403D64" w:rsidR="006652D6" w:rsidRPr="00A0686F" w:rsidRDefault="004A3918" w:rsidP="00FE0051">
      <w:pPr>
        <w:rPr>
          <w:noProof/>
        </w:rPr>
      </w:pPr>
      <w:r w:rsidRPr="00A0686F">
        <w:rPr>
          <w:noProof/>
          <w:lang w:val="en-US"/>
        </w:rPr>
        <w:t>Kumar, B.</w:t>
      </w:r>
      <w:r w:rsidR="000C51F2" w:rsidRPr="00A0686F">
        <w:rPr>
          <w:noProof/>
          <w:lang w:val="en-US"/>
        </w:rPr>
        <w:t>M. y Nair, P.R. (Eds.). (2011)</w:t>
      </w:r>
      <w:r w:rsidR="00A3390F" w:rsidRPr="00A0686F">
        <w:rPr>
          <w:noProof/>
          <w:lang w:val="en-US"/>
        </w:rPr>
        <w:t>:</w:t>
      </w:r>
      <w:r w:rsidR="000C51F2" w:rsidRPr="00A0686F">
        <w:rPr>
          <w:noProof/>
          <w:lang w:val="en-US"/>
        </w:rPr>
        <w:t> </w:t>
      </w:r>
      <w:r w:rsidR="000C51F2" w:rsidRPr="00A0686F">
        <w:rPr>
          <w:i/>
          <w:iCs/>
          <w:noProof/>
          <w:lang w:val="en-US"/>
        </w:rPr>
        <w:t>Carbon sequestration potential of agroforestry systems: opportunities and challenges</w:t>
      </w:r>
      <w:r w:rsidR="000C51F2" w:rsidRPr="00A0686F">
        <w:rPr>
          <w:noProof/>
          <w:lang w:val="en-US"/>
        </w:rPr>
        <w:t xml:space="preserve">. </w:t>
      </w:r>
      <w:r w:rsidR="000C51F2" w:rsidRPr="00A0686F">
        <w:rPr>
          <w:noProof/>
        </w:rPr>
        <w:t>Springer Science &amp; Business Media, 306 p.</w:t>
      </w:r>
    </w:p>
    <w:p w14:paraId="5EAB4C23" w14:textId="60801C9D" w:rsidR="000C51F2" w:rsidRPr="00050617" w:rsidRDefault="000C51F2" w:rsidP="00FE0051">
      <w:pPr>
        <w:rPr>
          <w:noProof/>
        </w:rPr>
      </w:pPr>
      <w:r w:rsidRPr="00A0686F">
        <w:rPr>
          <w:noProof/>
        </w:rPr>
        <w:t>López-Carrasco, C. y Roig, S. (2009): Efecto de la disposición espacial del arbolado sobre los pastos herbáceos en una dehesa toledana: producción de materia seca.</w:t>
      </w:r>
      <w:r w:rsidR="008B304F">
        <w:rPr>
          <w:rFonts w:ascii="Arial" w:hAnsi="Arial" w:cs="Arial"/>
          <w:color w:val="222222"/>
          <w:sz w:val="20"/>
          <w:szCs w:val="20"/>
          <w:shd w:val="clear" w:color="auto" w:fill="FFFFFF"/>
        </w:rPr>
        <w:t xml:space="preserve"> </w:t>
      </w:r>
      <w:r w:rsidRPr="00050617">
        <w:rPr>
          <w:i/>
          <w:noProof/>
        </w:rPr>
        <w:t>Actas de la XLVIII RC de la SEEP</w:t>
      </w:r>
      <w:r w:rsidRPr="00050617">
        <w:rPr>
          <w:noProof/>
        </w:rPr>
        <w:t>. Huesca. 565–570.</w:t>
      </w:r>
    </w:p>
    <w:p w14:paraId="6C94C602" w14:textId="77777777" w:rsidR="000C51F2" w:rsidRPr="00A0686F" w:rsidRDefault="000C51F2" w:rsidP="00FE0051">
      <w:pPr>
        <w:rPr>
          <w:noProof/>
          <w:lang w:val="en-US"/>
        </w:rPr>
      </w:pPr>
      <w:r w:rsidRPr="00A0686F">
        <w:rPr>
          <w:noProof/>
        </w:rPr>
        <w:lastRenderedPageBreak/>
        <w:t>Ma, Q., Su, Y. y Guo, Q. (2017): Comparison of Canopy Cover Estimations From Airborne LiDAR, Aerial Imagery, and Satellite Imagery. </w:t>
      </w:r>
      <w:r w:rsidRPr="00A0686F">
        <w:rPr>
          <w:i/>
          <w:iCs/>
          <w:noProof/>
          <w:lang w:val="en-US"/>
        </w:rPr>
        <w:t>IEEE Journal of Selected Topics in Applied Earth Observations and Remote Sensing</w:t>
      </w:r>
      <w:r w:rsidRPr="00A0686F">
        <w:rPr>
          <w:noProof/>
          <w:lang w:val="en-US"/>
        </w:rPr>
        <w:t>, </w:t>
      </w:r>
      <w:r w:rsidRPr="00A0686F">
        <w:rPr>
          <w:iCs/>
          <w:noProof/>
          <w:lang w:val="en-US"/>
        </w:rPr>
        <w:t>10</w:t>
      </w:r>
      <w:r w:rsidRPr="00A0686F">
        <w:rPr>
          <w:noProof/>
          <w:lang w:val="en-US"/>
        </w:rPr>
        <w:t>, 4225-4236.</w:t>
      </w:r>
    </w:p>
    <w:p w14:paraId="227D3F21" w14:textId="1BE433AB" w:rsidR="000D106C" w:rsidRPr="00A0686F" w:rsidRDefault="000D106C" w:rsidP="00FE0051">
      <w:pPr>
        <w:rPr>
          <w:lang w:val="en-US"/>
        </w:rPr>
      </w:pPr>
      <w:r w:rsidRPr="00A0686F">
        <w:t>MAGRAMA</w:t>
      </w:r>
      <w:r w:rsidR="00A3390F" w:rsidRPr="00A0686F">
        <w:t xml:space="preserve"> (</w:t>
      </w:r>
      <w:r w:rsidRPr="00A0686F">
        <w:t>2013</w:t>
      </w:r>
      <w:r w:rsidR="00A3390F" w:rsidRPr="00A0686F">
        <w:t>):</w:t>
      </w:r>
      <w:r w:rsidRPr="00A0686F">
        <w:t xml:space="preserve"> </w:t>
      </w:r>
      <w:r w:rsidRPr="00A0686F">
        <w:rPr>
          <w:i/>
        </w:rPr>
        <w:t>Mapa Forestal de España. Escala 1:50.000</w:t>
      </w:r>
      <w:r w:rsidRPr="00A0686F">
        <w:t xml:space="preserve">. Ministerio de Agricultura, Alimentación y Medio Ambiente. </w:t>
      </w:r>
      <w:r w:rsidRPr="00A0686F">
        <w:rPr>
          <w:lang w:val="en-US"/>
        </w:rPr>
        <w:t>Madrid.</w:t>
      </w:r>
    </w:p>
    <w:p w14:paraId="39EB86F7" w14:textId="18488DD2" w:rsidR="000C51F2" w:rsidRPr="00A0686F" w:rsidRDefault="000C51F2" w:rsidP="00FE0051">
      <w:pPr>
        <w:rPr>
          <w:lang w:val="en-US"/>
        </w:rPr>
      </w:pPr>
      <w:r w:rsidRPr="00A0686F">
        <w:rPr>
          <w:lang w:val="en-US"/>
        </w:rPr>
        <w:t>Moreno, G. (2008): Response of understorey forage to multiple tree effects in Iberian dehesas. </w:t>
      </w:r>
      <w:r w:rsidRPr="00A0686F">
        <w:rPr>
          <w:i/>
          <w:iCs/>
          <w:lang w:val="en-US"/>
        </w:rPr>
        <w:t xml:space="preserve">Agriculture, </w:t>
      </w:r>
      <w:r w:rsidR="00A0686F" w:rsidRPr="0047493C">
        <w:rPr>
          <w:i/>
          <w:iCs/>
          <w:lang w:val="en-US"/>
        </w:rPr>
        <w:t>E</w:t>
      </w:r>
      <w:r w:rsidRPr="00A0686F">
        <w:rPr>
          <w:i/>
          <w:iCs/>
          <w:lang w:val="en-US"/>
        </w:rPr>
        <w:t xml:space="preserve">cosystems &amp; </w:t>
      </w:r>
      <w:r w:rsidR="00A0686F" w:rsidRPr="0047493C">
        <w:rPr>
          <w:i/>
          <w:iCs/>
          <w:lang w:val="en-US"/>
        </w:rPr>
        <w:t>E</w:t>
      </w:r>
      <w:r w:rsidRPr="00A0686F">
        <w:rPr>
          <w:i/>
          <w:iCs/>
          <w:lang w:val="en-US"/>
        </w:rPr>
        <w:t>nvironment</w:t>
      </w:r>
      <w:r w:rsidRPr="00A0686F">
        <w:rPr>
          <w:lang w:val="en-US"/>
        </w:rPr>
        <w:t>, </w:t>
      </w:r>
      <w:r w:rsidRPr="00A0686F">
        <w:rPr>
          <w:iCs/>
          <w:lang w:val="en-US"/>
        </w:rPr>
        <w:t>123</w:t>
      </w:r>
      <w:r w:rsidR="004A3918" w:rsidRPr="00A0686F">
        <w:rPr>
          <w:lang w:val="en-US"/>
        </w:rPr>
        <w:t xml:space="preserve">, </w:t>
      </w:r>
      <w:r w:rsidRPr="00A0686F">
        <w:rPr>
          <w:lang w:val="en-US"/>
        </w:rPr>
        <w:t>239-244.</w:t>
      </w:r>
    </w:p>
    <w:p w14:paraId="1BA5917E" w14:textId="6F664D03" w:rsidR="004A3918" w:rsidRDefault="004A3918" w:rsidP="00FE0051">
      <w:pPr>
        <w:rPr>
          <w:lang w:val="en-US"/>
        </w:rPr>
      </w:pPr>
      <w:r w:rsidRPr="00A0686F">
        <w:rPr>
          <w:lang w:val="en-US"/>
        </w:rPr>
        <w:t xml:space="preserve">Moreno, G., Bartolome, J.W., Gea-Izquierdo, G. y Cañellas, I. (2013): Overstory–understory relationships. En: Campos, P., Huntsinger, L., Oviedo, J.L., Starrs, P.F., Diaz, M., Standiford, R.B. y Montero, G. (Eds.): </w:t>
      </w:r>
      <w:r w:rsidRPr="00A0686F">
        <w:rPr>
          <w:i/>
          <w:iCs/>
          <w:lang w:val="en-US"/>
        </w:rPr>
        <w:t>Mediterranean Oak Woodland Working Landscapes.</w:t>
      </w:r>
      <w:r w:rsidRPr="00A0686F">
        <w:rPr>
          <w:lang w:val="en-US"/>
        </w:rPr>
        <w:t> Dordrecht, Springer, pp. 145-179.</w:t>
      </w:r>
    </w:p>
    <w:p w14:paraId="089C4088" w14:textId="5790F354" w:rsidR="001002D1" w:rsidRPr="00A0686F" w:rsidRDefault="001002D1" w:rsidP="00FE0051">
      <w:pPr>
        <w:rPr>
          <w:lang w:val="en-US"/>
        </w:rPr>
      </w:pPr>
      <w:r w:rsidRPr="001002D1">
        <w:t>Nowak, D. J.</w:t>
      </w:r>
      <w:r>
        <w:t xml:space="preserve"> y </w:t>
      </w:r>
      <w:r w:rsidRPr="001002D1">
        <w:t>Greenfield, E. J. (2012)</w:t>
      </w:r>
      <w:r>
        <w:t>:</w:t>
      </w:r>
      <w:r w:rsidRPr="001002D1">
        <w:t xml:space="preserve"> Tree and impervious cover in the United States. </w:t>
      </w:r>
      <w:r w:rsidRPr="001002D1">
        <w:rPr>
          <w:i/>
          <w:iCs/>
        </w:rPr>
        <w:t>Landscape and Urban Planning</w:t>
      </w:r>
      <w:r w:rsidRPr="001002D1">
        <w:t>, </w:t>
      </w:r>
      <w:r w:rsidRPr="0047493C">
        <w:rPr>
          <w:iCs/>
        </w:rPr>
        <w:t>107</w:t>
      </w:r>
      <w:r w:rsidRPr="00050617">
        <w:t>,</w:t>
      </w:r>
      <w:r w:rsidRPr="001002D1">
        <w:t xml:space="preserve"> 21-30.</w:t>
      </w:r>
    </w:p>
    <w:p w14:paraId="39CB477F" w14:textId="5CB467F6" w:rsidR="0005021E" w:rsidRPr="00A0686F" w:rsidRDefault="004A3918" w:rsidP="00FE0051">
      <w:pPr>
        <w:rPr>
          <w:lang w:val="en-US"/>
        </w:rPr>
      </w:pPr>
      <w:r w:rsidRPr="00A0686F">
        <w:rPr>
          <w:lang w:val="en-US"/>
        </w:rPr>
        <w:t xml:space="preserve">Papanastasis, V.P. (2004): Vegetation degradation and land use changes in agrosilvopastoral systems. </w:t>
      </w:r>
      <w:r w:rsidR="0046688B" w:rsidRPr="00A0686F">
        <w:rPr>
          <w:lang w:val="en-US"/>
        </w:rPr>
        <w:t xml:space="preserve">En: </w:t>
      </w:r>
      <w:r w:rsidRPr="00A0686F">
        <w:rPr>
          <w:lang w:val="en-US"/>
        </w:rPr>
        <w:t>Schnabel, S. y Ferreira, A. (</w:t>
      </w:r>
      <w:r w:rsidR="0046688B" w:rsidRPr="00A0686F">
        <w:rPr>
          <w:lang w:val="en-US"/>
        </w:rPr>
        <w:t>Eds.):</w:t>
      </w:r>
      <w:r w:rsidRPr="00A0686F">
        <w:rPr>
          <w:lang w:val="en-US"/>
        </w:rPr>
        <w:t xml:space="preserve"> </w:t>
      </w:r>
      <w:r w:rsidRPr="00A0686F">
        <w:rPr>
          <w:i/>
          <w:lang w:val="en-US"/>
        </w:rPr>
        <w:t xml:space="preserve">Sustainability of Agrosilvopastoral </w:t>
      </w:r>
      <w:r w:rsidR="00A0686F" w:rsidRPr="0047493C">
        <w:rPr>
          <w:i/>
          <w:lang w:val="en-US"/>
        </w:rPr>
        <w:t>S</w:t>
      </w:r>
      <w:r w:rsidRPr="00A0686F">
        <w:rPr>
          <w:i/>
          <w:lang w:val="en-US"/>
        </w:rPr>
        <w:t>ystems. Advances in GeoEcology</w:t>
      </w:r>
      <w:r w:rsidR="0046688B" w:rsidRPr="00A0686F">
        <w:rPr>
          <w:i/>
          <w:lang w:val="en-US"/>
        </w:rPr>
        <w:t>.</w:t>
      </w:r>
      <w:r w:rsidRPr="00A0686F">
        <w:rPr>
          <w:lang w:val="en-US"/>
        </w:rPr>
        <w:t xml:space="preserve"> </w:t>
      </w:r>
      <w:r w:rsidR="0046688B" w:rsidRPr="00A0686F">
        <w:rPr>
          <w:lang w:val="en-US"/>
        </w:rPr>
        <w:t xml:space="preserve">Reiskirchen, Germany, Catena Verlag, </w:t>
      </w:r>
      <w:r w:rsidRPr="00A0686F">
        <w:rPr>
          <w:lang w:val="en-US"/>
        </w:rPr>
        <w:t>pp</w:t>
      </w:r>
      <w:r w:rsidR="0046688B" w:rsidRPr="00A0686F">
        <w:rPr>
          <w:lang w:val="en-US"/>
        </w:rPr>
        <w:t>.</w:t>
      </w:r>
      <w:r w:rsidRPr="00A0686F">
        <w:rPr>
          <w:lang w:val="en-US"/>
        </w:rPr>
        <w:t xml:space="preserve"> 1-12.</w:t>
      </w:r>
    </w:p>
    <w:p w14:paraId="468299DE" w14:textId="10052B20" w:rsidR="0005021E" w:rsidRPr="0047493C" w:rsidRDefault="0005021E" w:rsidP="00FE0051">
      <w:pPr>
        <w:rPr>
          <w:lang w:val="en-US"/>
        </w:rPr>
      </w:pPr>
      <w:r w:rsidRPr="00A0686F">
        <w:rPr>
          <w:lang w:val="en-US"/>
        </w:rPr>
        <w:t xml:space="preserve">Pinto-Correia, T., Barroso, F., Surová, D., y Menezes, H. (2011): The fuzziness of Montado landscapes: progress in assessing user preferences through photo-based surveys. </w:t>
      </w:r>
      <w:r w:rsidRPr="00A0686F">
        <w:rPr>
          <w:i/>
          <w:lang w:val="en-US"/>
        </w:rPr>
        <w:t xml:space="preserve">Agroforestry </w:t>
      </w:r>
      <w:r w:rsidR="00242329" w:rsidRPr="0047493C">
        <w:rPr>
          <w:i/>
          <w:lang w:val="en-US"/>
        </w:rPr>
        <w:t>S</w:t>
      </w:r>
      <w:r w:rsidRPr="00A0686F">
        <w:rPr>
          <w:i/>
          <w:lang w:val="en-US"/>
        </w:rPr>
        <w:t>ystems</w:t>
      </w:r>
      <w:r w:rsidRPr="00A0686F">
        <w:rPr>
          <w:lang w:val="en-US"/>
        </w:rPr>
        <w:t>, 82, 209-224.</w:t>
      </w:r>
      <w:r w:rsidRPr="0047493C">
        <w:rPr>
          <w:lang w:val="en-US"/>
        </w:rPr>
        <w:t xml:space="preserve"> </w:t>
      </w:r>
    </w:p>
    <w:p w14:paraId="1B55C579" w14:textId="0563C27B" w:rsidR="0005021E" w:rsidRPr="0047493C" w:rsidRDefault="0005021E" w:rsidP="00FE0051">
      <w:pPr>
        <w:rPr>
          <w:lang w:val="en-US"/>
        </w:rPr>
      </w:pPr>
      <w:r w:rsidRPr="00A0686F">
        <w:rPr>
          <w:lang w:val="en-US"/>
        </w:rPr>
        <w:t>Pulido, F.J., Dı́az, M. e Hidalgo de Trucios, S.J.</w:t>
      </w:r>
      <w:r w:rsidR="005477A3" w:rsidRPr="00A0686F">
        <w:rPr>
          <w:lang w:val="en-US"/>
        </w:rPr>
        <w:t xml:space="preserve"> </w:t>
      </w:r>
      <w:r w:rsidRPr="00A0686F">
        <w:rPr>
          <w:lang w:val="en-US"/>
        </w:rPr>
        <w:t>(2001)</w:t>
      </w:r>
      <w:r w:rsidR="005477A3" w:rsidRPr="00A0686F">
        <w:rPr>
          <w:lang w:val="en-US"/>
        </w:rPr>
        <w:t>:</w:t>
      </w:r>
      <w:r w:rsidRPr="00A0686F">
        <w:rPr>
          <w:lang w:val="en-US"/>
        </w:rPr>
        <w:t xml:space="preserve"> Size structure and regeneration of Spanish holm oak Quercus ilex forests and dehesas: effects of agroforestry use on their long-term sustainability. </w:t>
      </w:r>
      <w:r w:rsidRPr="00A0686F">
        <w:rPr>
          <w:i/>
          <w:lang w:val="en-US"/>
        </w:rPr>
        <w:t>Forest Ecology and Management</w:t>
      </w:r>
      <w:r w:rsidR="005477A3" w:rsidRPr="00A0686F">
        <w:rPr>
          <w:lang w:val="en-US"/>
        </w:rPr>
        <w:t>, 146</w:t>
      </w:r>
      <w:r w:rsidRPr="00A0686F">
        <w:rPr>
          <w:lang w:val="en-US"/>
        </w:rPr>
        <w:t>, 1-13.</w:t>
      </w:r>
    </w:p>
    <w:p w14:paraId="4485750B" w14:textId="332CABE1" w:rsidR="000D106C" w:rsidRPr="0047493C" w:rsidRDefault="00595CE9" w:rsidP="00FE0051">
      <w:r w:rsidRPr="00A0686F">
        <w:rPr>
          <w:lang w:val="en-US"/>
        </w:rPr>
        <w:t xml:space="preserve">Ruiz-Peinado, R., Moreno, G., Juarez, E., Montero, G. y Roig, S. (2013): The contribution of two common shrub species to aboveground and belowground carbon stock in Iberian dehesas. </w:t>
      </w:r>
      <w:r w:rsidRPr="00A0686F">
        <w:rPr>
          <w:i/>
        </w:rPr>
        <w:t xml:space="preserve">Journal of </w:t>
      </w:r>
      <w:r w:rsidR="00A0686F" w:rsidRPr="0047493C">
        <w:rPr>
          <w:i/>
        </w:rPr>
        <w:t>A</w:t>
      </w:r>
      <w:r w:rsidRPr="00A0686F">
        <w:rPr>
          <w:i/>
        </w:rPr>
        <w:t xml:space="preserve">rid </w:t>
      </w:r>
      <w:r w:rsidR="00A0686F" w:rsidRPr="0047493C">
        <w:rPr>
          <w:i/>
        </w:rPr>
        <w:t>E</w:t>
      </w:r>
      <w:r w:rsidRPr="00A0686F">
        <w:rPr>
          <w:i/>
        </w:rPr>
        <w:t>nvironments</w:t>
      </w:r>
      <w:r w:rsidRPr="00A0686F">
        <w:t>, 91, 22-30.</w:t>
      </w:r>
    </w:p>
    <w:p w14:paraId="4EE808C7" w14:textId="77777777" w:rsidR="00595CE9" w:rsidRPr="00A0686F" w:rsidRDefault="00595CE9" w:rsidP="00FE0051">
      <w:pPr>
        <w:rPr>
          <w:noProof/>
          <w:lang w:val="es-ES_tradnl"/>
        </w:rPr>
      </w:pPr>
      <w:r w:rsidRPr="00A0686F">
        <w:rPr>
          <w:noProof/>
          <w:lang w:val="es-ES_tradnl"/>
        </w:rPr>
        <w:t xml:space="preserve">San Miguel, A. (2001): </w:t>
      </w:r>
      <w:r w:rsidRPr="00A0686F">
        <w:rPr>
          <w:i/>
          <w:noProof/>
          <w:lang w:val="es-ES_tradnl"/>
        </w:rPr>
        <w:t>Pastos naturales españoles. Caracterización, aprovechamiento y posibilidades de mejora.</w:t>
      </w:r>
      <w:r w:rsidRPr="00A0686F">
        <w:rPr>
          <w:noProof/>
          <w:lang w:val="es-ES_tradnl"/>
        </w:rPr>
        <w:t xml:space="preserve"> Fundación Conde del Valle de Salazar- Mundi-Prensa, 320 p. </w:t>
      </w:r>
    </w:p>
    <w:p w14:paraId="36A595B5" w14:textId="14E0C973" w:rsidR="00052895" w:rsidRDefault="00FE0051" w:rsidP="00FE0051">
      <w:pPr>
        <w:rPr>
          <w:noProof/>
          <w:lang w:val="en-US"/>
        </w:rPr>
      </w:pPr>
      <w:r w:rsidRPr="00A0686F">
        <w:rPr>
          <w:noProof/>
        </w:rPr>
        <w:t>Treitz, P., Lim, K., Woo</w:t>
      </w:r>
      <w:r w:rsidR="00052895" w:rsidRPr="00A0686F">
        <w:rPr>
          <w:noProof/>
        </w:rPr>
        <w:t>ds, M., Pitt, D., Nesbitt, D. y Etheridge, D. (2012):</w:t>
      </w:r>
      <w:r w:rsidRPr="00A0686F">
        <w:rPr>
          <w:noProof/>
        </w:rPr>
        <w:t xml:space="preserve"> LiDAR sampling density for forest resource inventories in Ontario, Canada. </w:t>
      </w:r>
      <w:r w:rsidRPr="00A0686F">
        <w:rPr>
          <w:i/>
          <w:iCs/>
          <w:noProof/>
          <w:lang w:val="en-US"/>
        </w:rPr>
        <w:t>Remote Sensing</w:t>
      </w:r>
      <w:r w:rsidRPr="00A0686F">
        <w:rPr>
          <w:noProof/>
          <w:lang w:val="en-US"/>
        </w:rPr>
        <w:t>, </w:t>
      </w:r>
      <w:r w:rsidRPr="00A0686F">
        <w:rPr>
          <w:iCs/>
          <w:noProof/>
          <w:lang w:val="en-US"/>
        </w:rPr>
        <w:t>4</w:t>
      </w:r>
      <w:r w:rsidRPr="00A0686F">
        <w:rPr>
          <w:noProof/>
          <w:lang w:val="en-US"/>
        </w:rPr>
        <w:t>, 830-848.</w:t>
      </w:r>
    </w:p>
    <w:p w14:paraId="0E9D0A10" w14:textId="5B62F3E0" w:rsidR="008E576F" w:rsidRPr="00A0686F" w:rsidRDefault="008E576F" w:rsidP="00FE0051">
      <w:pPr>
        <w:rPr>
          <w:noProof/>
          <w:lang w:val="en-US"/>
        </w:rPr>
      </w:pPr>
      <w:r w:rsidRPr="00CD4582">
        <w:rPr>
          <w:noProof/>
        </w:rPr>
        <w:t>Trimble</w:t>
      </w:r>
      <w:r>
        <w:rPr>
          <w:noProof/>
        </w:rPr>
        <w:t xml:space="preserve"> (2009): </w:t>
      </w:r>
      <w:r w:rsidRPr="00CD4582">
        <w:rPr>
          <w:noProof/>
        </w:rPr>
        <w:t>eCognition Developer</w:t>
      </w:r>
      <w:r>
        <w:rPr>
          <w:noProof/>
        </w:rPr>
        <w:t xml:space="preserve">. </w:t>
      </w:r>
      <w:r>
        <w:t>Versión 8.0. Sunnyvale, California.</w:t>
      </w:r>
    </w:p>
    <w:p w14:paraId="096D0B50" w14:textId="77777777" w:rsidR="00052895" w:rsidRDefault="00052895" w:rsidP="00FE0051">
      <w:pPr>
        <w:rPr>
          <w:noProof/>
        </w:rPr>
      </w:pPr>
      <w:r w:rsidRPr="00A0686F">
        <w:rPr>
          <w:noProof/>
          <w:lang w:val="en-US"/>
        </w:rPr>
        <w:t>Zhao, Y., Hao, Y., Zhen, Z. y Quan, Y. (2017): A Region-Based Hierarchical Cross-Section Analysis for Individual Tree Crown Delineation Using ALS Data. </w:t>
      </w:r>
      <w:r w:rsidRPr="00A0686F">
        <w:rPr>
          <w:i/>
          <w:iCs/>
          <w:noProof/>
        </w:rPr>
        <w:t>Remote Sensing</w:t>
      </w:r>
      <w:r w:rsidRPr="00A0686F">
        <w:rPr>
          <w:noProof/>
        </w:rPr>
        <w:t>, </w:t>
      </w:r>
      <w:r w:rsidRPr="00A0686F">
        <w:rPr>
          <w:iCs/>
          <w:noProof/>
        </w:rPr>
        <w:t>9</w:t>
      </w:r>
      <w:r w:rsidRPr="00A0686F">
        <w:rPr>
          <w:noProof/>
        </w:rPr>
        <w:t>, 1-21.</w:t>
      </w:r>
    </w:p>
    <w:p w14:paraId="4EEE8D84" w14:textId="204CC1CE" w:rsidR="00C81027" w:rsidRPr="00600663" w:rsidRDefault="00C81027" w:rsidP="00F9354A"/>
    <w:sectPr w:rsidR="00C81027" w:rsidRPr="00600663" w:rsidSect="00944C83">
      <w:pgSz w:w="11906" w:h="16838" w:code="9"/>
      <w:pgMar w:top="1985" w:right="1134" w:bottom="1134" w:left="1134" w:header="709" w:footer="709"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3D07DA" w16cid:durableId="1E9ECA22"/>
  <w16cid:commentId w16cid:paraId="02AADCA2" w16cid:durableId="1E9ECA23"/>
  <w16cid:commentId w16cid:paraId="27B430C3" w16cid:durableId="1E9ECA24"/>
  <w16cid:commentId w16cid:paraId="6F28C1CF" w16cid:durableId="1E9ECA25"/>
  <w16cid:commentId w16cid:paraId="6ED3C2AB" w16cid:durableId="1E9ECA26"/>
  <w16cid:commentId w16cid:paraId="1A14A4CF" w16cid:durableId="1E9ECA27"/>
  <w16cid:commentId w16cid:paraId="493AB596" w16cid:durableId="1E9ECA28"/>
  <w16cid:commentId w16cid:paraId="7E4FABD5" w16cid:durableId="1E9ECA29"/>
  <w16cid:commentId w16cid:paraId="4A05A03D" w16cid:durableId="1E9ECA2A"/>
  <w16cid:commentId w16cid:paraId="39FA9D10" w16cid:durableId="1E9ECA2B"/>
  <w16cid:commentId w16cid:paraId="336D288C" w16cid:durableId="1E9ECA2C"/>
  <w16cid:commentId w16cid:paraId="1F284976" w16cid:durableId="1E9ECA2D"/>
  <w16cid:commentId w16cid:paraId="05BFFF88" w16cid:durableId="1E9ECA2E"/>
  <w16cid:commentId w16cid:paraId="7A0A614D" w16cid:durableId="1E9ECA2F"/>
  <w16cid:commentId w16cid:paraId="429945E6" w16cid:durableId="1E9ECA33"/>
  <w16cid:commentId w16cid:paraId="2BCD432A" w16cid:durableId="1E9ECA34"/>
  <w16cid:commentId w16cid:paraId="66762A51" w16cid:durableId="1E9ECA35"/>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D101A5" w14:textId="77777777" w:rsidR="00E347BD" w:rsidRDefault="00E347BD" w:rsidP="00C81027">
      <w:pPr>
        <w:spacing w:after="0"/>
      </w:pPr>
      <w:r>
        <w:separator/>
      </w:r>
    </w:p>
  </w:endnote>
  <w:endnote w:type="continuationSeparator" w:id="0">
    <w:p w14:paraId="49DBE171" w14:textId="77777777" w:rsidR="00E347BD" w:rsidRDefault="00E347BD" w:rsidP="00C810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tling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94A9EF" w14:textId="77777777" w:rsidR="00E347BD" w:rsidRDefault="00E347BD" w:rsidP="00C81027">
      <w:pPr>
        <w:spacing w:after="0"/>
      </w:pPr>
      <w:r>
        <w:separator/>
      </w:r>
    </w:p>
  </w:footnote>
  <w:footnote w:type="continuationSeparator" w:id="0">
    <w:p w14:paraId="40DE0F4C" w14:textId="77777777" w:rsidR="00E347BD" w:rsidRDefault="00E347BD" w:rsidP="00C81027">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D65BA4"/>
    <w:multiLevelType w:val="hybridMultilevel"/>
    <w:tmpl w:val="541E85E8"/>
    <w:lvl w:ilvl="0" w:tplc="0C0A000F">
      <w:start w:val="1"/>
      <w:numFmt w:val="decimal"/>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1">
    <w:nsid w:val="49CA1F76"/>
    <w:multiLevelType w:val="multilevel"/>
    <w:tmpl w:val="0C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4A9B63F6"/>
    <w:multiLevelType w:val="hybridMultilevel"/>
    <w:tmpl w:val="41305E8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71300374"/>
    <w:multiLevelType w:val="multilevel"/>
    <w:tmpl w:val="394C8542"/>
    <w:lvl w:ilvl="0">
      <w:start w:val="1"/>
      <w:numFmt w:val="decimal"/>
      <w:lvlText w:val="%1."/>
      <w:lvlJc w:val="left"/>
      <w:pPr>
        <w:ind w:left="432" w:hanging="432"/>
      </w:pPr>
      <w:rPr>
        <w:rFonts w:hint="default"/>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lowerLetter"/>
      <w:pStyle w:val="Ttulo4"/>
      <w:lvlText w:val="%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4">
    <w:nsid w:val="75214CEE"/>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102E"/>
    <w:rsid w:val="000014E7"/>
    <w:rsid w:val="00023026"/>
    <w:rsid w:val="000255C4"/>
    <w:rsid w:val="00040C2C"/>
    <w:rsid w:val="0005021E"/>
    <w:rsid w:val="00050617"/>
    <w:rsid w:val="00052895"/>
    <w:rsid w:val="0007674C"/>
    <w:rsid w:val="000806AB"/>
    <w:rsid w:val="00086385"/>
    <w:rsid w:val="00093FE4"/>
    <w:rsid w:val="000A3C0F"/>
    <w:rsid w:val="000A5253"/>
    <w:rsid w:val="000B1976"/>
    <w:rsid w:val="000C2A38"/>
    <w:rsid w:val="000C51F2"/>
    <w:rsid w:val="000C780E"/>
    <w:rsid w:val="000D106C"/>
    <w:rsid w:val="000D146A"/>
    <w:rsid w:val="000F1F5D"/>
    <w:rsid w:val="000F4BF0"/>
    <w:rsid w:val="001002D1"/>
    <w:rsid w:val="00105EAE"/>
    <w:rsid w:val="00116494"/>
    <w:rsid w:val="00126701"/>
    <w:rsid w:val="001644E4"/>
    <w:rsid w:val="0017434A"/>
    <w:rsid w:val="00181486"/>
    <w:rsid w:val="00190657"/>
    <w:rsid w:val="001A67C6"/>
    <w:rsid w:val="001B0D4E"/>
    <w:rsid w:val="001B6D81"/>
    <w:rsid w:val="001C4B99"/>
    <w:rsid w:val="001D405E"/>
    <w:rsid w:val="001E1155"/>
    <w:rsid w:val="001E5CC5"/>
    <w:rsid w:val="00200B5C"/>
    <w:rsid w:val="002050BF"/>
    <w:rsid w:val="00205994"/>
    <w:rsid w:val="0020640F"/>
    <w:rsid w:val="00217E93"/>
    <w:rsid w:val="00230446"/>
    <w:rsid w:val="00242329"/>
    <w:rsid w:val="00246612"/>
    <w:rsid w:val="00250F41"/>
    <w:rsid w:val="00276CF7"/>
    <w:rsid w:val="00295BB5"/>
    <w:rsid w:val="002B1927"/>
    <w:rsid w:val="002B62AF"/>
    <w:rsid w:val="002C2141"/>
    <w:rsid w:val="002D072C"/>
    <w:rsid w:val="002E283E"/>
    <w:rsid w:val="002E4E21"/>
    <w:rsid w:val="002F7F03"/>
    <w:rsid w:val="003044C2"/>
    <w:rsid w:val="00306978"/>
    <w:rsid w:val="00313EEE"/>
    <w:rsid w:val="00336745"/>
    <w:rsid w:val="00337441"/>
    <w:rsid w:val="0034015A"/>
    <w:rsid w:val="0035707B"/>
    <w:rsid w:val="003A661C"/>
    <w:rsid w:val="003D4578"/>
    <w:rsid w:val="003D7F24"/>
    <w:rsid w:val="003E3D72"/>
    <w:rsid w:val="003F5BB7"/>
    <w:rsid w:val="004062C2"/>
    <w:rsid w:val="00437B26"/>
    <w:rsid w:val="00462835"/>
    <w:rsid w:val="0046688B"/>
    <w:rsid w:val="0047493C"/>
    <w:rsid w:val="00483D92"/>
    <w:rsid w:val="00495BAD"/>
    <w:rsid w:val="004A1986"/>
    <w:rsid w:val="004A3918"/>
    <w:rsid w:val="004D2279"/>
    <w:rsid w:val="004F4AA8"/>
    <w:rsid w:val="004F5408"/>
    <w:rsid w:val="005004FD"/>
    <w:rsid w:val="00501855"/>
    <w:rsid w:val="00507AA5"/>
    <w:rsid w:val="00507B5A"/>
    <w:rsid w:val="005132C9"/>
    <w:rsid w:val="005477A3"/>
    <w:rsid w:val="00586F6D"/>
    <w:rsid w:val="00595CE9"/>
    <w:rsid w:val="005A44F7"/>
    <w:rsid w:val="005D6D35"/>
    <w:rsid w:val="005E12AF"/>
    <w:rsid w:val="005F67A7"/>
    <w:rsid w:val="005F6CFE"/>
    <w:rsid w:val="00600663"/>
    <w:rsid w:val="0060223D"/>
    <w:rsid w:val="00627405"/>
    <w:rsid w:val="00641339"/>
    <w:rsid w:val="006652D6"/>
    <w:rsid w:val="00665396"/>
    <w:rsid w:val="00687C3F"/>
    <w:rsid w:val="006A2709"/>
    <w:rsid w:val="006C67CA"/>
    <w:rsid w:val="006D23B2"/>
    <w:rsid w:val="006E4867"/>
    <w:rsid w:val="006F4F8B"/>
    <w:rsid w:val="007024BB"/>
    <w:rsid w:val="007057D2"/>
    <w:rsid w:val="00712B52"/>
    <w:rsid w:val="007276E2"/>
    <w:rsid w:val="00727F22"/>
    <w:rsid w:val="00735F5C"/>
    <w:rsid w:val="00741A91"/>
    <w:rsid w:val="00743624"/>
    <w:rsid w:val="007636A9"/>
    <w:rsid w:val="00774D4E"/>
    <w:rsid w:val="00794F82"/>
    <w:rsid w:val="007D1CBA"/>
    <w:rsid w:val="007F17FD"/>
    <w:rsid w:val="00803D6D"/>
    <w:rsid w:val="0080506D"/>
    <w:rsid w:val="008101FE"/>
    <w:rsid w:val="00817ED8"/>
    <w:rsid w:val="00827FA7"/>
    <w:rsid w:val="008305F1"/>
    <w:rsid w:val="008606DE"/>
    <w:rsid w:val="00883B31"/>
    <w:rsid w:val="00887808"/>
    <w:rsid w:val="00890A84"/>
    <w:rsid w:val="008A5F39"/>
    <w:rsid w:val="008B304F"/>
    <w:rsid w:val="008C7117"/>
    <w:rsid w:val="008D0B94"/>
    <w:rsid w:val="008D3E80"/>
    <w:rsid w:val="008E576F"/>
    <w:rsid w:val="008F180E"/>
    <w:rsid w:val="008F76E4"/>
    <w:rsid w:val="00902F8D"/>
    <w:rsid w:val="0093756D"/>
    <w:rsid w:val="009433D8"/>
    <w:rsid w:val="00944C83"/>
    <w:rsid w:val="00944D35"/>
    <w:rsid w:val="00945682"/>
    <w:rsid w:val="0095341C"/>
    <w:rsid w:val="0097413D"/>
    <w:rsid w:val="0098195D"/>
    <w:rsid w:val="009831BB"/>
    <w:rsid w:val="009B026B"/>
    <w:rsid w:val="00A0686F"/>
    <w:rsid w:val="00A13E61"/>
    <w:rsid w:val="00A2115D"/>
    <w:rsid w:val="00A2361B"/>
    <w:rsid w:val="00A30C58"/>
    <w:rsid w:val="00A3102E"/>
    <w:rsid w:val="00A31BA1"/>
    <w:rsid w:val="00A3390F"/>
    <w:rsid w:val="00A341CD"/>
    <w:rsid w:val="00A401FC"/>
    <w:rsid w:val="00A755D6"/>
    <w:rsid w:val="00A768F4"/>
    <w:rsid w:val="00A8216F"/>
    <w:rsid w:val="00A866AD"/>
    <w:rsid w:val="00A8688B"/>
    <w:rsid w:val="00A96B2F"/>
    <w:rsid w:val="00AD17CA"/>
    <w:rsid w:val="00AD405F"/>
    <w:rsid w:val="00AF13B0"/>
    <w:rsid w:val="00AF4DF3"/>
    <w:rsid w:val="00AF681E"/>
    <w:rsid w:val="00B202A3"/>
    <w:rsid w:val="00B21295"/>
    <w:rsid w:val="00B31320"/>
    <w:rsid w:val="00B31A5C"/>
    <w:rsid w:val="00B4765F"/>
    <w:rsid w:val="00B62BF1"/>
    <w:rsid w:val="00B71D86"/>
    <w:rsid w:val="00B7525C"/>
    <w:rsid w:val="00B75970"/>
    <w:rsid w:val="00B76AE5"/>
    <w:rsid w:val="00B775B9"/>
    <w:rsid w:val="00B8197E"/>
    <w:rsid w:val="00B85DF5"/>
    <w:rsid w:val="00BA102E"/>
    <w:rsid w:val="00BB01DC"/>
    <w:rsid w:val="00BB2202"/>
    <w:rsid w:val="00BC0CEF"/>
    <w:rsid w:val="00BD61A0"/>
    <w:rsid w:val="00C1370C"/>
    <w:rsid w:val="00C23F9A"/>
    <w:rsid w:val="00C454E3"/>
    <w:rsid w:val="00C527BD"/>
    <w:rsid w:val="00C54A9D"/>
    <w:rsid w:val="00C56E8B"/>
    <w:rsid w:val="00C75A62"/>
    <w:rsid w:val="00C81027"/>
    <w:rsid w:val="00C82D5F"/>
    <w:rsid w:val="00C9353B"/>
    <w:rsid w:val="00C93A93"/>
    <w:rsid w:val="00C97821"/>
    <w:rsid w:val="00CA6AB2"/>
    <w:rsid w:val="00CB12C0"/>
    <w:rsid w:val="00CB265D"/>
    <w:rsid w:val="00CD4582"/>
    <w:rsid w:val="00CE0D5A"/>
    <w:rsid w:val="00CE2FB3"/>
    <w:rsid w:val="00CF5CC0"/>
    <w:rsid w:val="00D077A2"/>
    <w:rsid w:val="00D14B07"/>
    <w:rsid w:val="00D20D7B"/>
    <w:rsid w:val="00D41772"/>
    <w:rsid w:val="00D52190"/>
    <w:rsid w:val="00D72D34"/>
    <w:rsid w:val="00D80618"/>
    <w:rsid w:val="00D90497"/>
    <w:rsid w:val="00D91023"/>
    <w:rsid w:val="00D96919"/>
    <w:rsid w:val="00D9763D"/>
    <w:rsid w:val="00DA1B6D"/>
    <w:rsid w:val="00DA78B4"/>
    <w:rsid w:val="00DE4C1B"/>
    <w:rsid w:val="00DF2C71"/>
    <w:rsid w:val="00E0371E"/>
    <w:rsid w:val="00E347BD"/>
    <w:rsid w:val="00E37AFE"/>
    <w:rsid w:val="00E467BD"/>
    <w:rsid w:val="00E611A8"/>
    <w:rsid w:val="00E62160"/>
    <w:rsid w:val="00E65C50"/>
    <w:rsid w:val="00EC7B30"/>
    <w:rsid w:val="00EF1B1F"/>
    <w:rsid w:val="00EF7001"/>
    <w:rsid w:val="00F05688"/>
    <w:rsid w:val="00F066AA"/>
    <w:rsid w:val="00F1644F"/>
    <w:rsid w:val="00F21640"/>
    <w:rsid w:val="00F321C5"/>
    <w:rsid w:val="00F36FB4"/>
    <w:rsid w:val="00F575D8"/>
    <w:rsid w:val="00F811EF"/>
    <w:rsid w:val="00F91B6A"/>
    <w:rsid w:val="00F9354A"/>
    <w:rsid w:val="00F93D80"/>
    <w:rsid w:val="00FA6210"/>
    <w:rsid w:val="00FB03CD"/>
    <w:rsid w:val="00FB563A"/>
    <w:rsid w:val="00FE0051"/>
    <w:rsid w:val="00FF53E3"/>
    <w:rsid w:val="00FF70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8CADF1"/>
  <w15:docId w15:val="{6F5D37DD-E158-456A-86F8-4C566BF4FD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102E"/>
    <w:pPr>
      <w:spacing w:after="120" w:line="240" w:lineRule="auto"/>
      <w:jc w:val="both"/>
    </w:pPr>
    <w:rPr>
      <w:rFonts w:ascii="Calibri" w:hAnsi="Calibri"/>
    </w:rPr>
  </w:style>
  <w:style w:type="paragraph" w:styleId="Ttulo1">
    <w:name w:val="heading 1"/>
    <w:basedOn w:val="Normal"/>
    <w:next w:val="Normal"/>
    <w:link w:val="Ttulo1Car"/>
    <w:uiPriority w:val="9"/>
    <w:qFormat/>
    <w:rsid w:val="00BA102E"/>
    <w:pPr>
      <w:keepNext/>
      <w:keepLines/>
      <w:outlineLvl w:val="0"/>
    </w:pPr>
    <w:rPr>
      <w:rFonts w:eastAsiaTheme="majorEastAsia" w:cstheme="majorBidi"/>
      <w:b/>
      <w:caps/>
      <w:szCs w:val="32"/>
    </w:rPr>
  </w:style>
  <w:style w:type="paragraph" w:styleId="Ttulo2">
    <w:name w:val="heading 2"/>
    <w:basedOn w:val="Normal"/>
    <w:next w:val="Normal"/>
    <w:link w:val="Ttulo2Car"/>
    <w:uiPriority w:val="9"/>
    <w:unhideWhenUsed/>
    <w:qFormat/>
    <w:rsid w:val="00BA102E"/>
    <w:pPr>
      <w:keepNext/>
      <w:keepLines/>
      <w:numPr>
        <w:ilvl w:val="1"/>
        <w:numId w:val="2"/>
      </w:numPr>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8C7117"/>
    <w:pPr>
      <w:keepNext/>
      <w:keepLines/>
      <w:numPr>
        <w:ilvl w:val="2"/>
        <w:numId w:val="2"/>
      </w:numPr>
      <w:outlineLvl w:val="2"/>
    </w:pPr>
    <w:rPr>
      <w:rFonts w:eastAsiaTheme="majorEastAsia" w:cstheme="majorBidi"/>
      <w:i/>
      <w:szCs w:val="24"/>
    </w:rPr>
  </w:style>
  <w:style w:type="paragraph" w:styleId="Ttulo4">
    <w:name w:val="heading 4"/>
    <w:basedOn w:val="Normal"/>
    <w:next w:val="Normal"/>
    <w:link w:val="Ttulo4Car"/>
    <w:uiPriority w:val="9"/>
    <w:unhideWhenUsed/>
    <w:qFormat/>
    <w:rsid w:val="00BA102E"/>
    <w:pPr>
      <w:keepNext/>
      <w:keepLines/>
      <w:numPr>
        <w:ilvl w:val="3"/>
        <w:numId w:val="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BA102E"/>
    <w:pPr>
      <w:keepNext/>
      <w:keepLines/>
      <w:numPr>
        <w:ilvl w:val="4"/>
        <w:numId w:val="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BA102E"/>
    <w:pPr>
      <w:keepNext/>
      <w:keepLines/>
      <w:numPr>
        <w:ilvl w:val="5"/>
        <w:numId w:val="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BA102E"/>
    <w:pPr>
      <w:keepNext/>
      <w:keepLines/>
      <w:numPr>
        <w:ilvl w:val="6"/>
        <w:numId w:val="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BA102E"/>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BA102E"/>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A102E"/>
    <w:rPr>
      <w:rFonts w:ascii="Calibri" w:eastAsiaTheme="majorEastAsia" w:hAnsi="Calibri" w:cstheme="majorBidi"/>
      <w:b/>
      <w:caps/>
      <w:szCs w:val="32"/>
    </w:rPr>
  </w:style>
  <w:style w:type="character" w:customStyle="1" w:styleId="Ttulo2Car">
    <w:name w:val="Título 2 Car"/>
    <w:basedOn w:val="Fuentedeprrafopredeter"/>
    <w:link w:val="Ttulo2"/>
    <w:uiPriority w:val="9"/>
    <w:rsid w:val="00BA102E"/>
    <w:rPr>
      <w:rFonts w:ascii="Calibri" w:eastAsiaTheme="majorEastAsia" w:hAnsi="Calibri" w:cstheme="majorBidi"/>
      <w:b/>
      <w:szCs w:val="26"/>
    </w:rPr>
  </w:style>
  <w:style w:type="paragraph" w:styleId="Puesto">
    <w:name w:val="Title"/>
    <w:aliases w:val="Título3"/>
    <w:basedOn w:val="Normal"/>
    <w:next w:val="Normal"/>
    <w:link w:val="PuestoCar"/>
    <w:uiPriority w:val="10"/>
    <w:qFormat/>
    <w:rsid w:val="00BA102E"/>
    <w:pPr>
      <w:contextualSpacing/>
    </w:pPr>
    <w:rPr>
      <w:rFonts w:eastAsiaTheme="majorEastAsia" w:cstheme="majorBidi"/>
      <w:i/>
      <w:spacing w:val="-10"/>
      <w:kern w:val="28"/>
      <w:szCs w:val="56"/>
    </w:rPr>
  </w:style>
  <w:style w:type="character" w:customStyle="1" w:styleId="PuestoCar">
    <w:name w:val="Puesto Car"/>
    <w:aliases w:val="Título3 Car"/>
    <w:basedOn w:val="Fuentedeprrafopredeter"/>
    <w:link w:val="Puesto"/>
    <w:uiPriority w:val="10"/>
    <w:rsid w:val="00BA102E"/>
    <w:rPr>
      <w:rFonts w:ascii="Calibri" w:eastAsiaTheme="majorEastAsia" w:hAnsi="Calibri" w:cstheme="majorBidi"/>
      <w:i/>
      <w:spacing w:val="-10"/>
      <w:kern w:val="28"/>
      <w:szCs w:val="56"/>
    </w:rPr>
  </w:style>
  <w:style w:type="paragraph" w:styleId="Prrafodelista">
    <w:name w:val="List Paragraph"/>
    <w:basedOn w:val="Normal"/>
    <w:uiPriority w:val="34"/>
    <w:qFormat/>
    <w:rsid w:val="00BA102E"/>
    <w:pPr>
      <w:ind w:left="720"/>
      <w:contextualSpacing/>
    </w:pPr>
  </w:style>
  <w:style w:type="character" w:customStyle="1" w:styleId="Ttulo3Car">
    <w:name w:val="Título 3 Car"/>
    <w:basedOn w:val="Fuentedeprrafopredeter"/>
    <w:link w:val="Ttulo3"/>
    <w:uiPriority w:val="9"/>
    <w:rsid w:val="008C7117"/>
    <w:rPr>
      <w:rFonts w:ascii="Calibri" w:eastAsiaTheme="majorEastAsia" w:hAnsi="Calibri" w:cstheme="majorBidi"/>
      <w:i/>
      <w:szCs w:val="24"/>
    </w:rPr>
  </w:style>
  <w:style w:type="character" w:customStyle="1" w:styleId="Ttulo4Car">
    <w:name w:val="Título 4 Car"/>
    <w:basedOn w:val="Fuentedeprrafopredeter"/>
    <w:link w:val="Ttulo4"/>
    <w:uiPriority w:val="9"/>
    <w:rsid w:val="00BA102E"/>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BA102E"/>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BA102E"/>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BA102E"/>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BA102E"/>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BA102E"/>
    <w:rPr>
      <w:rFonts w:asciiTheme="majorHAnsi" w:eastAsiaTheme="majorEastAsia" w:hAnsiTheme="majorHAnsi" w:cstheme="majorBidi"/>
      <w:i/>
      <w:iCs/>
      <w:color w:val="272727" w:themeColor="text1" w:themeTint="D8"/>
      <w:sz w:val="21"/>
      <w:szCs w:val="21"/>
    </w:rPr>
  </w:style>
  <w:style w:type="paragraph" w:styleId="Textonotapie">
    <w:name w:val="footnote text"/>
    <w:basedOn w:val="Normal"/>
    <w:link w:val="TextonotapieCar"/>
    <w:uiPriority w:val="99"/>
    <w:semiHidden/>
    <w:unhideWhenUsed/>
    <w:rsid w:val="00C81027"/>
    <w:pPr>
      <w:spacing w:after="0"/>
      <w:jc w:val="left"/>
    </w:pPr>
    <w:rPr>
      <w:rFonts w:asciiTheme="minorHAnsi" w:hAnsiTheme="minorHAnsi"/>
      <w:sz w:val="20"/>
      <w:szCs w:val="20"/>
      <w:lang w:val="es-ES_tradnl"/>
    </w:rPr>
  </w:style>
  <w:style w:type="character" w:customStyle="1" w:styleId="TextonotapieCar">
    <w:name w:val="Texto nota pie Car"/>
    <w:basedOn w:val="Fuentedeprrafopredeter"/>
    <w:link w:val="Textonotapie"/>
    <w:uiPriority w:val="99"/>
    <w:semiHidden/>
    <w:rsid w:val="00C81027"/>
    <w:rPr>
      <w:sz w:val="20"/>
      <w:szCs w:val="20"/>
      <w:lang w:val="es-ES_tradnl"/>
    </w:rPr>
  </w:style>
  <w:style w:type="character" w:styleId="Refdenotaalpie">
    <w:name w:val="footnote reference"/>
    <w:basedOn w:val="Fuentedeprrafopredeter"/>
    <w:uiPriority w:val="99"/>
    <w:semiHidden/>
    <w:unhideWhenUsed/>
    <w:rsid w:val="00C81027"/>
    <w:rPr>
      <w:vertAlign w:val="superscript"/>
    </w:rPr>
  </w:style>
  <w:style w:type="character" w:styleId="Hipervnculo">
    <w:name w:val="Hyperlink"/>
    <w:basedOn w:val="Fuentedeprrafopredeter"/>
    <w:uiPriority w:val="99"/>
    <w:unhideWhenUsed/>
    <w:rsid w:val="00C81027"/>
    <w:rPr>
      <w:color w:val="0563C1" w:themeColor="hyperlink"/>
      <w:u w:val="single"/>
    </w:rPr>
  </w:style>
  <w:style w:type="paragraph" w:customStyle="1" w:styleId="resumen">
    <w:name w:val="resumen"/>
    <w:basedOn w:val="Normal"/>
    <w:qFormat/>
    <w:rsid w:val="00C81027"/>
    <w:rPr>
      <w:b/>
      <w:sz w:val="20"/>
    </w:rPr>
  </w:style>
  <w:style w:type="character" w:styleId="Nmerodelnea">
    <w:name w:val="line number"/>
    <w:basedOn w:val="Fuentedeprrafopredeter"/>
    <w:uiPriority w:val="99"/>
    <w:semiHidden/>
    <w:unhideWhenUsed/>
    <w:rsid w:val="00C81027"/>
  </w:style>
  <w:style w:type="table" w:styleId="Tablaconcuadrcula">
    <w:name w:val="Table Grid"/>
    <w:basedOn w:val="Tablanormal"/>
    <w:uiPriority w:val="39"/>
    <w:rsid w:val="002C21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0F4BF0"/>
    <w:pPr>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paragraph" w:styleId="Textodeglobo">
    <w:name w:val="Balloon Text"/>
    <w:basedOn w:val="Normal"/>
    <w:link w:val="TextodegloboCar"/>
    <w:uiPriority w:val="99"/>
    <w:semiHidden/>
    <w:unhideWhenUsed/>
    <w:rsid w:val="009433D8"/>
    <w:pPr>
      <w:spacing w:after="0"/>
    </w:pPr>
    <w:rPr>
      <w:rFonts w:ascii="Arial" w:hAnsi="Arial" w:cs="Arial"/>
      <w:sz w:val="18"/>
      <w:szCs w:val="18"/>
    </w:rPr>
  </w:style>
  <w:style w:type="character" w:customStyle="1" w:styleId="TextodegloboCar">
    <w:name w:val="Texto de globo Car"/>
    <w:basedOn w:val="Fuentedeprrafopredeter"/>
    <w:link w:val="Textodeglobo"/>
    <w:uiPriority w:val="99"/>
    <w:semiHidden/>
    <w:rsid w:val="009433D8"/>
    <w:rPr>
      <w:rFonts w:ascii="Arial" w:hAnsi="Arial" w:cs="Arial"/>
      <w:sz w:val="18"/>
      <w:szCs w:val="18"/>
    </w:rPr>
  </w:style>
  <w:style w:type="character" w:styleId="Refdecomentario">
    <w:name w:val="annotation reference"/>
    <w:basedOn w:val="Fuentedeprrafopredeter"/>
    <w:uiPriority w:val="99"/>
    <w:semiHidden/>
    <w:unhideWhenUsed/>
    <w:rsid w:val="006F4F8B"/>
    <w:rPr>
      <w:sz w:val="16"/>
      <w:szCs w:val="16"/>
    </w:rPr>
  </w:style>
  <w:style w:type="paragraph" w:styleId="Textocomentario">
    <w:name w:val="annotation text"/>
    <w:basedOn w:val="Normal"/>
    <w:link w:val="TextocomentarioCar"/>
    <w:uiPriority w:val="99"/>
    <w:semiHidden/>
    <w:unhideWhenUsed/>
    <w:rsid w:val="006F4F8B"/>
    <w:rPr>
      <w:sz w:val="20"/>
      <w:szCs w:val="20"/>
    </w:rPr>
  </w:style>
  <w:style w:type="character" w:customStyle="1" w:styleId="TextocomentarioCar">
    <w:name w:val="Texto comentario Car"/>
    <w:basedOn w:val="Fuentedeprrafopredeter"/>
    <w:link w:val="Textocomentario"/>
    <w:uiPriority w:val="99"/>
    <w:semiHidden/>
    <w:rsid w:val="006F4F8B"/>
    <w:rPr>
      <w:rFonts w:ascii="Calibri" w:hAnsi="Calibri"/>
      <w:sz w:val="20"/>
      <w:szCs w:val="20"/>
    </w:rPr>
  </w:style>
  <w:style w:type="paragraph" w:styleId="Asuntodelcomentario">
    <w:name w:val="annotation subject"/>
    <w:basedOn w:val="Textocomentario"/>
    <w:next w:val="Textocomentario"/>
    <w:link w:val="AsuntodelcomentarioCar"/>
    <w:uiPriority w:val="99"/>
    <w:semiHidden/>
    <w:unhideWhenUsed/>
    <w:rsid w:val="006F4F8B"/>
    <w:rPr>
      <w:b/>
      <w:bCs/>
    </w:rPr>
  </w:style>
  <w:style w:type="character" w:customStyle="1" w:styleId="AsuntodelcomentarioCar">
    <w:name w:val="Asunto del comentario Car"/>
    <w:basedOn w:val="TextocomentarioCar"/>
    <w:link w:val="Asuntodelcomentario"/>
    <w:uiPriority w:val="99"/>
    <w:semiHidden/>
    <w:rsid w:val="006F4F8B"/>
    <w:rPr>
      <w:rFonts w:ascii="Calibri" w:hAnsi="Calibri"/>
      <w:b/>
      <w:bCs/>
      <w:sz w:val="20"/>
      <w:szCs w:val="20"/>
    </w:rPr>
  </w:style>
  <w:style w:type="paragraph" w:styleId="Encabezado">
    <w:name w:val="header"/>
    <w:basedOn w:val="Normal"/>
    <w:link w:val="EncabezadoCar"/>
    <w:uiPriority w:val="99"/>
    <w:unhideWhenUsed/>
    <w:rsid w:val="006F4F8B"/>
    <w:pPr>
      <w:tabs>
        <w:tab w:val="center" w:pos="4252"/>
        <w:tab w:val="right" w:pos="8504"/>
      </w:tabs>
      <w:spacing w:after="0"/>
    </w:pPr>
  </w:style>
  <w:style w:type="character" w:customStyle="1" w:styleId="EncabezadoCar">
    <w:name w:val="Encabezado Car"/>
    <w:basedOn w:val="Fuentedeprrafopredeter"/>
    <w:link w:val="Encabezado"/>
    <w:uiPriority w:val="99"/>
    <w:rsid w:val="006F4F8B"/>
    <w:rPr>
      <w:rFonts w:ascii="Calibri" w:hAnsi="Calibri"/>
    </w:rPr>
  </w:style>
  <w:style w:type="paragraph" w:styleId="Piedepgina">
    <w:name w:val="footer"/>
    <w:basedOn w:val="Normal"/>
    <w:link w:val="PiedepginaCar"/>
    <w:uiPriority w:val="99"/>
    <w:unhideWhenUsed/>
    <w:rsid w:val="006F4F8B"/>
    <w:pPr>
      <w:tabs>
        <w:tab w:val="center" w:pos="4252"/>
        <w:tab w:val="right" w:pos="8504"/>
      </w:tabs>
      <w:spacing w:after="0"/>
    </w:pPr>
  </w:style>
  <w:style w:type="character" w:customStyle="1" w:styleId="PiedepginaCar">
    <w:name w:val="Pie de página Car"/>
    <w:basedOn w:val="Fuentedeprrafopredeter"/>
    <w:link w:val="Piedepgina"/>
    <w:uiPriority w:val="99"/>
    <w:rsid w:val="006F4F8B"/>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4816953">
      <w:bodyDiv w:val="1"/>
      <w:marLeft w:val="0"/>
      <w:marRight w:val="0"/>
      <w:marTop w:val="0"/>
      <w:marBottom w:val="0"/>
      <w:divBdr>
        <w:top w:val="none" w:sz="0" w:space="0" w:color="auto"/>
        <w:left w:val="none" w:sz="0" w:space="0" w:color="auto"/>
        <w:bottom w:val="none" w:sz="0" w:space="0" w:color="auto"/>
        <w:right w:val="none" w:sz="0" w:space="0" w:color="auto"/>
      </w:divBdr>
    </w:div>
    <w:div w:id="1176265136">
      <w:bodyDiv w:val="1"/>
      <w:marLeft w:val="0"/>
      <w:marRight w:val="0"/>
      <w:marTop w:val="0"/>
      <w:marBottom w:val="0"/>
      <w:divBdr>
        <w:top w:val="none" w:sz="0" w:space="0" w:color="auto"/>
        <w:left w:val="none" w:sz="0" w:space="0" w:color="auto"/>
        <w:bottom w:val="none" w:sz="0" w:space="0" w:color="auto"/>
        <w:right w:val="none" w:sz="0" w:space="0" w:color="auto"/>
      </w:divBdr>
    </w:div>
    <w:div w:id="1501114701">
      <w:bodyDiv w:val="1"/>
      <w:marLeft w:val="0"/>
      <w:marRight w:val="0"/>
      <w:marTop w:val="0"/>
      <w:marBottom w:val="0"/>
      <w:divBdr>
        <w:top w:val="none" w:sz="0" w:space="0" w:color="auto"/>
        <w:left w:val="none" w:sz="0" w:space="0" w:color="auto"/>
        <w:bottom w:val="none" w:sz="0" w:space="0" w:color="auto"/>
        <w:right w:val="none" w:sz="0" w:space="0" w:color="auto"/>
      </w:divBdr>
      <w:divsChild>
        <w:div w:id="1948810807">
          <w:marLeft w:val="0"/>
          <w:marRight w:val="0"/>
          <w:marTop w:val="0"/>
          <w:marBottom w:val="0"/>
          <w:divBdr>
            <w:top w:val="none" w:sz="0" w:space="0" w:color="auto"/>
            <w:left w:val="none" w:sz="0" w:space="0" w:color="auto"/>
            <w:bottom w:val="none" w:sz="0" w:space="0" w:color="auto"/>
            <w:right w:val="none" w:sz="0" w:space="0" w:color="auto"/>
          </w:divBdr>
        </w:div>
      </w:divsChild>
    </w:div>
    <w:div w:id="1879005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jpeg"/><Relationship Id="rId12" Type="http://schemas.openxmlformats.org/officeDocument/2006/relationships/image" Target="media/image2.jpeg"/><Relationship Id="rId13" Type="http://schemas.openxmlformats.org/officeDocument/2006/relationships/fontTable" Target="fontTable.xml"/><Relationship Id="rId14" Type="http://schemas.openxmlformats.org/officeDocument/2006/relationships/theme" Target="theme/theme1.xml"/><Relationship Id="rId15" Type="http://schemas.microsoft.com/office/2016/09/relationships/commentsIds" Target="commentsIds.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sabelarenascorraliza@unex.es" TargetMode="External"/><Relationship Id="rId9" Type="http://schemas.openxmlformats.org/officeDocument/2006/relationships/hyperlink" Target="mailto:ananieto@unex.es" TargetMode="External"/><Relationship Id="rId10" Type="http://schemas.openxmlformats.org/officeDocument/2006/relationships/hyperlink" Target="mailto:gmoreno@unex.e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C8132A-C319-C64B-A8D1-603C5C6D0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9</Pages>
  <Words>8492</Words>
  <Characters>44244</Characters>
  <Application>Microsoft Macintosh Word</Application>
  <DocSecurity>0</DocSecurity>
  <Lines>713</Lines>
  <Paragraphs>204</Paragraphs>
  <ScaleCrop>false</ScaleCrop>
  <HeadingPairs>
    <vt:vector size="2" baseType="variant">
      <vt:variant>
        <vt:lpstr>Título</vt:lpstr>
      </vt:variant>
      <vt:variant>
        <vt:i4>1</vt:i4>
      </vt:variant>
    </vt:vector>
  </HeadingPairs>
  <TitlesOfParts>
    <vt:vector size="1" baseType="lpstr">
      <vt:lpstr/>
    </vt:vector>
  </TitlesOfParts>
  <Manager/>
  <Company/>
  <LinksUpToDate>false</LinksUpToDate>
  <CharactersWithSpaces>52532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 de Microsoft Office</cp:lastModifiedBy>
  <cp:revision>10</cp:revision>
  <cp:lastPrinted>2018-03-21T10:59:00Z</cp:lastPrinted>
  <dcterms:created xsi:type="dcterms:W3CDTF">2018-05-10T11:12:00Z</dcterms:created>
  <dcterms:modified xsi:type="dcterms:W3CDTF">2018-05-14T15:44:00Z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ce9014bf-7d3b-3f2d-bfb6-a55eb0fc5390</vt:lpwstr>
  </property>
  <property fmtid="{D5CDD505-2E9C-101B-9397-08002B2CF9AE}" pid="24" name="Mendeley Citation Style_1">
    <vt:lpwstr>http://www.zotero.org/styles/apa</vt:lpwstr>
  </property>
</Properties>
</file>